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650" w:rsidRDefault="00AE5650" w:rsidP="001B3233">
      <w:pPr>
        <w:ind w:firstLine="0"/>
        <w:jc w:val="center"/>
        <w:rPr>
          <w:noProof/>
          <w:lang w:val="cs-CZ" w:eastAsia="cs-CZ" w:bidi="ar-SA"/>
        </w:rPr>
      </w:pPr>
    </w:p>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F93B27" w:rsidRPr="00E536A7" w:rsidRDefault="00A41860" w:rsidP="00CD5196">
            <w:pPr>
              <w:pStyle w:val="Default"/>
              <w:rPr>
                <w:rFonts w:asciiTheme="minorHAnsi" w:hAnsiTheme="minorHAnsi"/>
                <w:b/>
                <w:sz w:val="22"/>
                <w:szCs w:val="22"/>
              </w:rPr>
            </w:pPr>
            <w:r w:rsidRPr="00A41860">
              <w:rPr>
                <w:rFonts w:asciiTheme="minorHAnsi" w:hAnsiTheme="minorHAnsi"/>
                <w:b/>
                <w:sz w:val="22"/>
                <w:szCs w:val="22"/>
              </w:rPr>
              <w:t xml:space="preserve">Město </w:t>
            </w:r>
            <w:r w:rsidR="00CD5196">
              <w:rPr>
                <w:rFonts w:asciiTheme="minorHAnsi" w:hAnsiTheme="minorHAnsi"/>
                <w:b/>
                <w:sz w:val="22"/>
                <w:szCs w:val="22"/>
              </w:rPr>
              <w:t>Horní Slavkov</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F93B27" w:rsidRPr="00E536A7" w:rsidRDefault="00CD5196" w:rsidP="00F93B27">
            <w:pPr>
              <w:pStyle w:val="Default"/>
              <w:rPr>
                <w:rFonts w:asciiTheme="minorHAnsi" w:hAnsiTheme="minorHAnsi"/>
                <w:sz w:val="22"/>
                <w:szCs w:val="22"/>
              </w:rPr>
            </w:pPr>
            <w:r w:rsidRPr="00CD5196">
              <w:rPr>
                <w:rFonts w:asciiTheme="minorHAnsi" w:hAnsiTheme="minorHAnsi"/>
                <w:bCs/>
                <w:sz w:val="22"/>
                <w:szCs w:val="22"/>
              </w:rPr>
              <w:t>Dlouhá 634, 357 31 Horní Slavkov</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IČ</w:t>
            </w:r>
            <w:r w:rsidR="00C65F7A">
              <w:rPr>
                <w:rFonts w:cs="Verdana"/>
                <w:lang w:val="cs-CZ"/>
              </w:rPr>
              <w:t>/DIČ</w:t>
            </w:r>
            <w:r w:rsidRPr="008F7358">
              <w:rPr>
                <w:rFonts w:cs="Verdana"/>
                <w:lang w:val="cs-CZ"/>
              </w:rPr>
              <w:t>:</w:t>
            </w:r>
          </w:p>
        </w:tc>
        <w:tc>
          <w:tcPr>
            <w:tcW w:w="6089" w:type="dxa"/>
          </w:tcPr>
          <w:p w:rsidR="00F93B27" w:rsidRPr="00E536A7" w:rsidRDefault="00CD5196" w:rsidP="008D20C6">
            <w:pPr>
              <w:tabs>
                <w:tab w:val="left" w:pos="2268"/>
              </w:tabs>
              <w:ind w:firstLine="0"/>
              <w:contextualSpacing/>
              <w:rPr>
                <w:rFonts w:asciiTheme="minorHAnsi" w:hAnsiTheme="minorHAnsi"/>
              </w:rPr>
            </w:pPr>
            <w:r w:rsidRPr="00CD5196">
              <w:rPr>
                <w:rFonts w:asciiTheme="minorHAnsi" w:hAnsiTheme="minorHAnsi" w:cs="Arial"/>
              </w:rPr>
              <w:t>00259322</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F93B27" w:rsidRPr="00ED2F9E" w:rsidRDefault="00CD5196" w:rsidP="008D20C6">
            <w:pPr>
              <w:tabs>
                <w:tab w:val="left" w:pos="2268"/>
              </w:tabs>
              <w:ind w:firstLine="0"/>
              <w:contextualSpacing/>
              <w:rPr>
                <w:rFonts w:asciiTheme="majorHAnsi" w:hAnsiTheme="majorHAnsi" w:cs="Arial"/>
                <w:lang w:val="cs-CZ"/>
              </w:rPr>
            </w:pPr>
            <w:r w:rsidRPr="00CD5196">
              <w:rPr>
                <w:rFonts w:asciiTheme="majorHAnsi" w:hAnsiTheme="majorHAnsi" w:cs="Arial"/>
                <w:lang w:val="cs-CZ"/>
              </w:rPr>
              <w:t>Alexandr TEREK, starosta města</w:t>
            </w:r>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ED2F9E" w:rsidRPr="00B21C1B" w:rsidRDefault="00ED2F9E" w:rsidP="00ED2F9E">
            <w:pPr>
              <w:tabs>
                <w:tab w:val="left" w:pos="2268"/>
              </w:tabs>
              <w:ind w:firstLine="0"/>
              <w:contextualSpacing/>
              <w:rPr>
                <w:rFonts w:asciiTheme="minorHAnsi" w:hAnsiTheme="minorHAnsi"/>
                <w:lang w:val="cs-CZ"/>
              </w:rPr>
            </w:pPr>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ED2F9E" w:rsidRPr="00B21C1B" w:rsidRDefault="00ED2F9E" w:rsidP="00A41860">
            <w:pPr>
              <w:tabs>
                <w:tab w:val="left" w:pos="2268"/>
              </w:tabs>
              <w:ind w:firstLine="0"/>
              <w:contextualSpacing/>
              <w:rPr>
                <w:rFonts w:asciiTheme="minorHAnsi" w:hAnsiTheme="minorHAnsi"/>
                <w:lang w:val="cs-CZ"/>
              </w:rPr>
            </w:pPr>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ED2F9E" w:rsidRPr="00EE0376" w:rsidRDefault="00CD5196" w:rsidP="00ED2F9E">
            <w:pPr>
              <w:tabs>
                <w:tab w:val="left" w:pos="2268"/>
              </w:tabs>
              <w:ind w:firstLine="0"/>
              <w:contextualSpacing/>
              <w:rPr>
                <w:highlight w:val="yellow"/>
              </w:rPr>
            </w:pPr>
            <w:r w:rsidRPr="00CD5196">
              <w:t xml:space="preserve">Monika Volfová, </w:t>
            </w:r>
            <w:proofErr w:type="spellStart"/>
            <w:r w:rsidRPr="00CD5196">
              <w:t>vedoucí</w:t>
            </w:r>
            <w:proofErr w:type="spellEnd"/>
            <w:r w:rsidRPr="00CD5196">
              <w:t xml:space="preserve"> </w:t>
            </w:r>
            <w:proofErr w:type="spellStart"/>
            <w:r w:rsidRPr="00CD5196">
              <w:t>odboru</w:t>
            </w:r>
            <w:proofErr w:type="spellEnd"/>
            <w:r w:rsidRPr="00CD5196">
              <w:t xml:space="preserve"> </w:t>
            </w:r>
            <w:proofErr w:type="spellStart"/>
            <w:r w:rsidRPr="00CD5196">
              <w:t>majetku</w:t>
            </w:r>
            <w:proofErr w:type="spellEnd"/>
            <w:r w:rsidRPr="00CD5196">
              <w:t xml:space="preserve"> a </w:t>
            </w:r>
            <w:proofErr w:type="spellStart"/>
            <w:r w:rsidRPr="00CD5196">
              <w:t>investic</w:t>
            </w:r>
            <w:proofErr w:type="spellEnd"/>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rsidR="00ED2F9E" w:rsidRPr="00EE0376" w:rsidRDefault="00CD5196" w:rsidP="00A41860">
            <w:pPr>
              <w:tabs>
                <w:tab w:val="left" w:pos="2268"/>
              </w:tabs>
              <w:ind w:firstLine="0"/>
              <w:contextualSpacing/>
              <w:rPr>
                <w:highlight w:val="yellow"/>
              </w:rPr>
            </w:pPr>
            <w:r w:rsidRPr="00CD5196">
              <w:t>+420 602 110 499</w:t>
            </w:r>
          </w:p>
        </w:tc>
      </w:tr>
      <w:tr w:rsidR="00ED2F9E" w:rsidRPr="008F7358" w:rsidTr="00C76F82">
        <w:trPr>
          <w:trHeight w:val="80"/>
        </w:trPr>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ED2F9E" w:rsidRPr="00EE0376" w:rsidRDefault="00B73886" w:rsidP="00ED2F9E">
            <w:pPr>
              <w:tabs>
                <w:tab w:val="left" w:pos="2268"/>
              </w:tabs>
              <w:ind w:firstLine="0"/>
              <w:contextualSpacing/>
              <w:rPr>
                <w:highlight w:val="yellow"/>
              </w:rPr>
            </w:pPr>
            <w:hyperlink r:id="rId11" w:history="1">
              <w:r w:rsidR="00CD5196" w:rsidRPr="00BC4293">
                <w:rPr>
                  <w:rStyle w:val="Hypertextovodkaz"/>
                </w:rPr>
                <w:t>monika.volfova@hornislavkov.cz</w:t>
              </w:r>
            </w:hyperlink>
            <w:r w:rsidR="00CD5196">
              <w:t xml:space="preserve"> </w:t>
            </w:r>
          </w:p>
        </w:tc>
      </w:tr>
    </w:tbl>
    <w:p w:rsidR="00F57CB8" w:rsidRDefault="00F57CB8" w:rsidP="00CB503C">
      <w:pPr>
        <w:tabs>
          <w:tab w:val="left" w:pos="2268"/>
        </w:tabs>
        <w:ind w:left="851" w:hanging="425"/>
        <w:contextualSpacing/>
        <w:rPr>
          <w:rFonts w:asciiTheme="minorHAnsi" w:hAnsiTheme="minorHAnsi"/>
          <w:lang w:val="cs-CZ"/>
        </w:rPr>
      </w:pPr>
    </w:p>
    <w:p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8D20C6">
      <w:pPr>
        <w:tabs>
          <w:tab w:val="left" w:pos="2268"/>
        </w:tabs>
        <w:ind w:firstLine="0"/>
        <w:contextualSpacing/>
        <w:rPr>
          <w:rFonts w:asciiTheme="minorHAnsi" w:hAnsiTheme="minorHAnsi"/>
          <w:lang w:val="cs-CZ"/>
        </w:rPr>
      </w:pPr>
    </w:p>
    <w:p w:rsidR="00EE0376" w:rsidRDefault="00EE0376" w:rsidP="00E81D76">
      <w:pPr>
        <w:tabs>
          <w:tab w:val="left" w:pos="2268"/>
        </w:tabs>
        <w:ind w:left="851" w:hanging="425"/>
        <w:contextualSpacing/>
        <w:jc w:val="center"/>
        <w:rPr>
          <w:rFonts w:asciiTheme="minorHAnsi" w:hAnsiTheme="minorHAnsi"/>
          <w:lang w:val="cs-CZ"/>
        </w:rPr>
      </w:pPr>
    </w:p>
    <w:p w:rsidR="00ED2F9E" w:rsidRPr="008F7358" w:rsidRDefault="00ED2F9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A81B1E" w:rsidRDefault="00A81B1E" w:rsidP="00A81B1E">
      <w:pPr>
        <w:spacing w:before="120" w:line="240" w:lineRule="atLeast"/>
        <w:ind w:firstLine="0"/>
        <w:contextualSpacing/>
        <w:rPr>
          <w:rFonts w:asciiTheme="minorHAnsi" w:hAnsiTheme="minorHAnsi"/>
          <w:b/>
          <w:caps/>
          <w:lang w:val="cs-CZ"/>
        </w:rPr>
      </w:pPr>
    </w:p>
    <w:p w:rsidR="00ED2F9E" w:rsidRDefault="00ED2F9E" w:rsidP="00A81B1E">
      <w:pPr>
        <w:spacing w:before="120" w:line="240" w:lineRule="atLeast"/>
        <w:ind w:firstLine="0"/>
        <w:contextualSpacing/>
        <w:rPr>
          <w:rFonts w:asciiTheme="minorHAnsi" w:hAnsiTheme="minorHAnsi"/>
          <w:b/>
          <w:caps/>
          <w:lang w:val="cs-CZ"/>
        </w:rPr>
      </w:pPr>
    </w:p>
    <w:p w:rsidR="00820040" w:rsidRPr="00BC485F" w:rsidRDefault="00820040" w:rsidP="00820040">
      <w:pPr>
        <w:pStyle w:val="Odstavecseseznamem"/>
        <w:ind w:left="0" w:firstLine="0"/>
        <w:jc w:val="center"/>
        <w:rPr>
          <w:rStyle w:val="Siln"/>
          <w:rFonts w:ascii="Calibri Light" w:hAnsi="Calibri Light"/>
          <w:sz w:val="32"/>
          <w:szCs w:val="32"/>
        </w:rPr>
      </w:pPr>
      <w:proofErr w:type="spellStart"/>
      <w:r w:rsidRPr="00BC485F">
        <w:rPr>
          <w:rStyle w:val="Siln"/>
          <w:rFonts w:ascii="Calibri Light" w:hAnsi="Calibri Light"/>
          <w:sz w:val="32"/>
          <w:szCs w:val="32"/>
        </w:rPr>
        <w:t>Revitalizace</w:t>
      </w:r>
      <w:proofErr w:type="spellEnd"/>
      <w:r w:rsidRPr="00BC485F">
        <w:rPr>
          <w:rStyle w:val="Siln"/>
          <w:rFonts w:ascii="Calibri Light" w:hAnsi="Calibri Light"/>
          <w:sz w:val="32"/>
          <w:szCs w:val="32"/>
        </w:rPr>
        <w:t xml:space="preserve"> </w:t>
      </w:r>
      <w:proofErr w:type="spellStart"/>
      <w:r w:rsidRPr="00BC485F">
        <w:rPr>
          <w:rStyle w:val="Siln"/>
          <w:rFonts w:ascii="Calibri Light" w:hAnsi="Calibri Light"/>
          <w:sz w:val="32"/>
          <w:szCs w:val="32"/>
        </w:rPr>
        <w:t>brownfieldu</w:t>
      </w:r>
      <w:proofErr w:type="spellEnd"/>
      <w:r w:rsidRPr="00BC485F">
        <w:rPr>
          <w:rStyle w:val="Siln"/>
          <w:rFonts w:ascii="Calibri Light" w:hAnsi="Calibri Light"/>
          <w:sz w:val="32"/>
          <w:szCs w:val="32"/>
        </w:rPr>
        <w:t xml:space="preserve"> </w:t>
      </w:r>
      <w:proofErr w:type="spellStart"/>
      <w:r w:rsidRPr="00BC485F">
        <w:rPr>
          <w:rStyle w:val="Siln"/>
          <w:rFonts w:ascii="Calibri Light" w:hAnsi="Calibri Light"/>
          <w:sz w:val="32"/>
          <w:szCs w:val="32"/>
        </w:rPr>
        <w:t>výtopny</w:t>
      </w:r>
      <w:proofErr w:type="spellEnd"/>
      <w:r w:rsidRPr="00BC485F">
        <w:rPr>
          <w:rStyle w:val="Siln"/>
          <w:rFonts w:ascii="Calibri Light" w:hAnsi="Calibri Light"/>
          <w:sz w:val="32"/>
          <w:szCs w:val="32"/>
        </w:rPr>
        <w:t xml:space="preserve"> – </w:t>
      </w:r>
      <w:proofErr w:type="spellStart"/>
      <w:r w:rsidRPr="00BC485F">
        <w:rPr>
          <w:rStyle w:val="Siln"/>
          <w:rFonts w:ascii="Calibri Light" w:hAnsi="Calibri Light"/>
          <w:sz w:val="32"/>
          <w:szCs w:val="32"/>
        </w:rPr>
        <w:t>východní</w:t>
      </w:r>
      <w:proofErr w:type="spellEnd"/>
      <w:r w:rsidRPr="00BC485F">
        <w:rPr>
          <w:rStyle w:val="Siln"/>
          <w:rFonts w:ascii="Calibri Light" w:hAnsi="Calibri Light"/>
          <w:sz w:val="32"/>
          <w:szCs w:val="32"/>
        </w:rPr>
        <w:t xml:space="preserve"> </w:t>
      </w:r>
      <w:proofErr w:type="spellStart"/>
      <w:r w:rsidRPr="00BC485F">
        <w:rPr>
          <w:rStyle w:val="Siln"/>
          <w:rFonts w:ascii="Calibri Light" w:hAnsi="Calibri Light"/>
          <w:sz w:val="32"/>
          <w:szCs w:val="32"/>
        </w:rPr>
        <w:t>část</w:t>
      </w:r>
      <w:proofErr w:type="spellEnd"/>
      <w:r w:rsidRPr="00BC485F">
        <w:rPr>
          <w:rStyle w:val="Siln"/>
          <w:rFonts w:ascii="Calibri Light" w:hAnsi="Calibri Light"/>
          <w:sz w:val="32"/>
          <w:szCs w:val="32"/>
        </w:rPr>
        <w:t xml:space="preserve">, </w:t>
      </w:r>
    </w:p>
    <w:p w:rsidR="00820040" w:rsidRPr="00BC485F" w:rsidRDefault="00820040" w:rsidP="00820040">
      <w:pPr>
        <w:pStyle w:val="Odstavecseseznamem"/>
        <w:ind w:left="0" w:firstLine="0"/>
        <w:jc w:val="center"/>
        <w:rPr>
          <w:rFonts w:ascii="Cambria" w:hAnsi="Cambria" w:cs="Arial"/>
          <w:sz w:val="32"/>
          <w:szCs w:val="32"/>
        </w:rPr>
      </w:pPr>
      <w:proofErr w:type="spellStart"/>
      <w:r w:rsidRPr="00BC485F">
        <w:rPr>
          <w:rStyle w:val="Siln"/>
          <w:rFonts w:ascii="Calibri Light" w:hAnsi="Calibri Light"/>
          <w:sz w:val="32"/>
          <w:szCs w:val="32"/>
        </w:rPr>
        <w:t>demolice</w:t>
      </w:r>
      <w:proofErr w:type="spellEnd"/>
      <w:r w:rsidRPr="00BC485F">
        <w:rPr>
          <w:rStyle w:val="Siln"/>
          <w:rFonts w:ascii="Calibri Light" w:hAnsi="Calibri Light"/>
          <w:sz w:val="32"/>
          <w:szCs w:val="32"/>
        </w:rPr>
        <w:t xml:space="preserve"> </w:t>
      </w:r>
      <w:proofErr w:type="spellStart"/>
      <w:r w:rsidRPr="00BC485F">
        <w:rPr>
          <w:rStyle w:val="Siln"/>
          <w:rFonts w:ascii="Calibri Light" w:hAnsi="Calibri Light"/>
          <w:sz w:val="32"/>
          <w:szCs w:val="32"/>
        </w:rPr>
        <w:t>budov</w:t>
      </w:r>
      <w:proofErr w:type="spellEnd"/>
      <w:r w:rsidR="00056658">
        <w:rPr>
          <w:rStyle w:val="Siln"/>
          <w:rFonts w:ascii="Calibri Light" w:hAnsi="Calibri Light"/>
          <w:sz w:val="32"/>
          <w:szCs w:val="32"/>
        </w:rPr>
        <w:t xml:space="preserve"> – I. </w:t>
      </w:r>
      <w:proofErr w:type="spellStart"/>
      <w:r w:rsidR="00056658">
        <w:rPr>
          <w:rStyle w:val="Siln"/>
          <w:rFonts w:ascii="Calibri Light" w:hAnsi="Calibri Light"/>
          <w:sz w:val="32"/>
          <w:szCs w:val="32"/>
        </w:rPr>
        <w:t>Dílčí</w:t>
      </w:r>
      <w:proofErr w:type="spellEnd"/>
      <w:r w:rsidR="00056658">
        <w:rPr>
          <w:rStyle w:val="Siln"/>
          <w:rFonts w:ascii="Calibri Light" w:hAnsi="Calibri Light"/>
          <w:sz w:val="32"/>
          <w:szCs w:val="32"/>
        </w:rPr>
        <w:t xml:space="preserve"> </w:t>
      </w:r>
      <w:proofErr w:type="spellStart"/>
      <w:r w:rsidR="00056658">
        <w:rPr>
          <w:rStyle w:val="Siln"/>
          <w:rFonts w:ascii="Calibri Light" w:hAnsi="Calibri Light"/>
          <w:sz w:val="32"/>
          <w:szCs w:val="32"/>
        </w:rPr>
        <w:t>část</w:t>
      </w:r>
      <w:proofErr w:type="spellEnd"/>
    </w:p>
    <w:p w:rsidR="00820040" w:rsidRDefault="00820040" w:rsidP="00820040">
      <w:pPr>
        <w:pStyle w:val="Odstavecseseznamem"/>
        <w:ind w:left="0"/>
        <w:rPr>
          <w:rFonts w:ascii="Cambria" w:hAnsi="Cambria" w:cs="Arial"/>
          <w:sz w:val="20"/>
          <w:szCs w:val="20"/>
        </w:rPr>
      </w:pPr>
    </w:p>
    <w:p w:rsidR="00820040" w:rsidRPr="00820040" w:rsidRDefault="00820040" w:rsidP="00820040">
      <w:pPr>
        <w:ind w:firstLine="0"/>
        <w:rPr>
          <w:rFonts w:ascii="Cambria" w:hAnsi="Cambria" w:cs="Arial"/>
          <w:sz w:val="20"/>
          <w:szCs w:val="20"/>
        </w:rPr>
      </w:pPr>
    </w:p>
    <w:p w:rsidR="00820040" w:rsidRDefault="00820040" w:rsidP="00820040">
      <w:pPr>
        <w:pStyle w:val="Odstavecseseznamem"/>
        <w:ind w:left="0"/>
        <w:rPr>
          <w:rFonts w:ascii="Cambria" w:hAnsi="Cambria" w:cs="Arial"/>
          <w:sz w:val="20"/>
          <w:szCs w:val="20"/>
        </w:rPr>
      </w:pPr>
    </w:p>
    <w:p w:rsidR="00820040" w:rsidRPr="00BC485F" w:rsidRDefault="00820040" w:rsidP="00820040">
      <w:pPr>
        <w:tabs>
          <w:tab w:val="center" w:pos="4535"/>
          <w:tab w:val="left" w:pos="5775"/>
        </w:tabs>
        <w:ind w:firstLine="0"/>
        <w:jc w:val="center"/>
        <w:rPr>
          <w:rFonts w:ascii="Calibri Light" w:hAnsi="Calibri Light"/>
          <w:i/>
          <w:lang w:val="cs-CZ"/>
        </w:rPr>
      </w:pPr>
      <w:r w:rsidRPr="00BC485F">
        <w:rPr>
          <w:rFonts w:ascii="Calibri Light" w:hAnsi="Calibri Light"/>
          <w:i/>
          <w:lang w:val="cs-CZ"/>
        </w:rPr>
        <w:t xml:space="preserve">Tato veřejná zakázka bude financována ze zdrojů Evropské unie </w:t>
      </w:r>
    </w:p>
    <w:p w:rsidR="00820040" w:rsidRPr="00BC485F" w:rsidRDefault="00820040" w:rsidP="00820040">
      <w:pPr>
        <w:tabs>
          <w:tab w:val="center" w:pos="4535"/>
          <w:tab w:val="left" w:pos="5775"/>
        </w:tabs>
        <w:ind w:firstLine="0"/>
        <w:jc w:val="center"/>
        <w:rPr>
          <w:rFonts w:ascii="Calibri Light" w:hAnsi="Calibri Light"/>
          <w:i/>
          <w:lang w:val="cs-CZ"/>
        </w:rPr>
      </w:pPr>
      <w:r w:rsidRPr="00BC485F">
        <w:rPr>
          <w:rFonts w:ascii="Calibri Light" w:hAnsi="Calibri Light"/>
          <w:i/>
          <w:lang w:val="cs-CZ"/>
        </w:rPr>
        <w:t xml:space="preserve">v rámci programu Národní </w:t>
      </w:r>
      <w:r w:rsidR="00056658" w:rsidRPr="00BC485F">
        <w:rPr>
          <w:rFonts w:ascii="Calibri Light" w:hAnsi="Calibri Light"/>
          <w:i/>
          <w:lang w:val="cs-CZ"/>
        </w:rPr>
        <w:t>plán</w:t>
      </w:r>
      <w:r w:rsidRPr="00BC485F">
        <w:rPr>
          <w:rFonts w:ascii="Calibri Light" w:hAnsi="Calibri Light"/>
          <w:i/>
          <w:lang w:val="cs-CZ"/>
        </w:rPr>
        <w:t xml:space="preserve"> obnovy.</w:t>
      </w:r>
    </w:p>
    <w:p w:rsidR="00820040" w:rsidRDefault="00820040" w:rsidP="00820040">
      <w:pPr>
        <w:tabs>
          <w:tab w:val="center" w:pos="4535"/>
          <w:tab w:val="left" w:pos="5775"/>
        </w:tabs>
        <w:jc w:val="center"/>
        <w:rPr>
          <w:rFonts w:ascii="Calibri Light" w:hAnsi="Calibri Light"/>
          <w:i/>
        </w:rPr>
      </w:pPr>
    </w:p>
    <w:p w:rsidR="00CB503C" w:rsidRPr="008F7358" w:rsidRDefault="00CB503C" w:rsidP="00820040">
      <w:pPr>
        <w:pStyle w:val="Nadpis1"/>
        <w:numPr>
          <w:ilvl w:val="0"/>
          <w:numId w:val="4"/>
        </w:numPr>
        <w:spacing w:before="0" w:after="0"/>
        <w:ind w:left="0" w:firstLine="993"/>
        <w:jc w:val="center"/>
        <w:rPr>
          <w:rFonts w:asciiTheme="minorHAnsi" w:hAnsiTheme="minorHAnsi"/>
          <w:b w:val="0"/>
          <w:sz w:val="22"/>
          <w:szCs w:val="22"/>
        </w:rPr>
      </w:pPr>
    </w:p>
    <w:p w:rsidR="00A44C5F" w:rsidRPr="00F33C78" w:rsidRDefault="00E5539B" w:rsidP="00AF7E33">
      <w:pPr>
        <w:spacing w:after="0"/>
        <w:ind w:firstLine="709"/>
        <w:jc w:val="center"/>
        <w:rPr>
          <w:b/>
          <w:caps/>
          <w:lang w:val="cs-CZ"/>
        </w:rPr>
      </w:pPr>
      <w:r w:rsidRPr="008F7358">
        <w:rPr>
          <w:b/>
          <w:caps/>
          <w:lang w:val="cs-CZ"/>
        </w:rPr>
        <w:t>Základní ustanovení</w:t>
      </w:r>
    </w:p>
    <w:p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rsidR="00AF7E33" w:rsidRPr="00AF7E33" w:rsidRDefault="00AF7E33" w:rsidP="00AF7E33">
      <w:pPr>
        <w:pStyle w:val="Odstavecseseznamem"/>
        <w:spacing w:after="120"/>
        <w:ind w:left="846" w:firstLine="0"/>
        <w:jc w:val="both"/>
        <w:rPr>
          <w:rFonts w:asciiTheme="majorHAnsi" w:hAnsiTheme="majorHAnsi"/>
          <w:szCs w:val="24"/>
          <w:lang w:val="cs-CZ"/>
        </w:rPr>
      </w:pPr>
    </w:p>
    <w:p w:rsidR="0098797B" w:rsidRPr="008F7358" w:rsidRDefault="0098797B" w:rsidP="00AF7E33">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820040" w:rsidRDefault="00A41860" w:rsidP="00820040">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b/>
          <w:lang w:val="cs-CZ"/>
        </w:rPr>
      </w:pPr>
      <w:r w:rsidRPr="00820040">
        <w:rPr>
          <w:rFonts w:asciiTheme="minorHAnsi" w:eastAsia="Calibri" w:hAnsiTheme="minorHAnsi"/>
          <w:lang w:val="cs-CZ" w:eastAsia="cs-CZ"/>
        </w:rPr>
        <w:t xml:space="preserve">Předmětem díla </w:t>
      </w:r>
      <w:r w:rsidRPr="00820040">
        <w:rPr>
          <w:rFonts w:asciiTheme="minorHAnsi" w:hAnsiTheme="minorHAnsi"/>
          <w:lang w:val="cs-CZ"/>
        </w:rPr>
        <w:t xml:space="preserve">je </w:t>
      </w:r>
      <w:r w:rsidR="00820040" w:rsidRPr="00820040">
        <w:rPr>
          <w:rFonts w:asciiTheme="minorHAnsi" w:hAnsiTheme="minorHAnsi"/>
          <w:b/>
          <w:lang w:val="cs-CZ"/>
        </w:rPr>
        <w:t>demolice části stavby bývalé kotelny v Horním Slavkově.</w:t>
      </w:r>
    </w:p>
    <w:p w:rsidR="00820040" w:rsidRPr="00820040" w:rsidRDefault="00820040" w:rsidP="00820040">
      <w:pPr>
        <w:tabs>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lang w:val="cs-CZ"/>
        </w:rPr>
      </w:pPr>
      <w:r w:rsidRPr="00820040">
        <w:rPr>
          <w:rFonts w:asciiTheme="minorHAnsi" w:hAnsiTheme="minorHAnsi"/>
          <w:lang w:val="cs-CZ"/>
        </w:rPr>
        <w:t xml:space="preserve">Odstranění části stavby na pozemku </w:t>
      </w:r>
      <w:proofErr w:type="spellStart"/>
      <w:r w:rsidRPr="00820040">
        <w:rPr>
          <w:rFonts w:asciiTheme="minorHAnsi" w:hAnsiTheme="minorHAnsi"/>
          <w:lang w:val="cs-CZ"/>
        </w:rPr>
        <w:t>p.p.č</w:t>
      </w:r>
      <w:proofErr w:type="spellEnd"/>
      <w:r w:rsidRPr="00820040">
        <w:rPr>
          <w:rFonts w:asciiTheme="minorHAnsi" w:hAnsiTheme="minorHAnsi"/>
          <w:lang w:val="cs-CZ"/>
        </w:rPr>
        <w:t>. 1126/1 v Horním Slavkově, na kterém se nachází objekt původní kotelny na tuhá paliva (předmět demolice), přístavba zázemí a plynová kotelna, která nyní zajišťuje dodávku tepla a teplé vody pro město v rámci CZT.</w:t>
      </w:r>
    </w:p>
    <w:p w:rsidR="00820040" w:rsidRDefault="00820040" w:rsidP="00820040">
      <w:pPr>
        <w:tabs>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lang w:val="cs-CZ"/>
        </w:rPr>
      </w:pPr>
      <w:r w:rsidRPr="00820040">
        <w:rPr>
          <w:rFonts w:asciiTheme="minorHAnsi" w:hAnsiTheme="minorHAnsi"/>
          <w:lang w:val="cs-CZ"/>
        </w:rPr>
        <w:t>Musí dojít k zabránění vniknutí prachu do technologie KGJ, v místě realizace dochází masivnímu větrání generátorů. V případě nezbytné nutnosti dojde k  vypnutí provozu</w:t>
      </w:r>
      <w:r w:rsidR="00363EED">
        <w:rPr>
          <w:rFonts w:asciiTheme="minorHAnsi" w:hAnsiTheme="minorHAnsi"/>
          <w:lang w:val="cs-CZ"/>
        </w:rPr>
        <w:t xml:space="preserve"> dle harmonogramu</w:t>
      </w:r>
      <w:r w:rsidRPr="00820040">
        <w:rPr>
          <w:rFonts w:asciiTheme="minorHAnsi" w:hAnsiTheme="minorHAnsi"/>
          <w:lang w:val="cs-CZ"/>
        </w:rPr>
        <w:t>.</w:t>
      </w:r>
      <w:r w:rsidR="00363EED">
        <w:rPr>
          <w:rFonts w:asciiTheme="minorHAnsi" w:hAnsiTheme="minorHAnsi"/>
          <w:lang w:val="cs-CZ"/>
        </w:rPr>
        <w:t xml:space="preserve"> </w:t>
      </w:r>
    </w:p>
    <w:p w:rsidR="00363EED" w:rsidRPr="00807632" w:rsidRDefault="00363EED" w:rsidP="008076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b/>
          <w:lang w:val="cs-CZ"/>
        </w:rPr>
      </w:pPr>
      <w:r w:rsidRPr="00807632">
        <w:rPr>
          <w:rFonts w:cs="Calibri"/>
          <w:b/>
          <w:bCs/>
          <w:lang w:val="cs-CZ" w:eastAsia="cs-CZ" w:bidi="ar-SA"/>
        </w:rPr>
        <w:t xml:space="preserve">Nedílnou součástí díla je zejména výroba Recyklovaného stavebního  materiálu </w:t>
      </w:r>
      <w:r w:rsidRPr="00807632">
        <w:rPr>
          <w:rFonts w:cs="Calibri"/>
          <w:lang w:val="cs-CZ" w:eastAsia="cs-CZ" w:bidi="ar-SA"/>
        </w:rPr>
        <w:t xml:space="preserve">– </w:t>
      </w:r>
      <w:r w:rsidRPr="00807632">
        <w:rPr>
          <w:rFonts w:cs="Calibri"/>
          <w:b/>
          <w:bCs/>
          <w:lang w:val="cs-CZ" w:eastAsia="cs-CZ" w:bidi="ar-SA"/>
        </w:rPr>
        <w:t xml:space="preserve">recyklát (RSM) </w:t>
      </w:r>
      <w:r w:rsidRPr="00807632">
        <w:rPr>
          <w:rFonts w:cs="Calibri"/>
          <w:lang w:val="cs-CZ" w:eastAsia="cs-CZ" w:bidi="ar-SA"/>
        </w:rPr>
        <w:t>– je</w:t>
      </w:r>
      <w:r w:rsidR="00F45EF5" w:rsidRPr="00807632">
        <w:rPr>
          <w:rFonts w:cs="Calibri"/>
          <w:lang w:val="cs-CZ" w:eastAsia="cs-CZ" w:bidi="ar-SA"/>
        </w:rPr>
        <w:t>dná se o</w:t>
      </w:r>
      <w:r w:rsidRPr="00807632">
        <w:rPr>
          <w:rFonts w:cs="Calibri"/>
          <w:lang w:val="cs-CZ" w:eastAsia="cs-CZ" w:bidi="ar-SA"/>
        </w:rPr>
        <w:t xml:space="preserve"> materiálový výstup ze</w:t>
      </w:r>
      <w:r w:rsidR="00F45EF5" w:rsidRPr="00807632">
        <w:rPr>
          <w:rFonts w:cs="Calibri"/>
          <w:lang w:val="cs-CZ" w:eastAsia="cs-CZ" w:bidi="ar-SA"/>
        </w:rPr>
        <w:t xml:space="preserve"> zařízení k využ</w:t>
      </w:r>
      <w:r w:rsidRPr="00807632">
        <w:rPr>
          <w:rFonts w:cs="Calibri"/>
          <w:lang w:val="cs-CZ" w:eastAsia="cs-CZ" w:bidi="ar-SA"/>
        </w:rPr>
        <w:t>ívání a úpravě SDO, kategorie ostatní odpad a odpadů podobných</w:t>
      </w:r>
      <w:r w:rsidR="00F45EF5" w:rsidRPr="00807632">
        <w:rPr>
          <w:rFonts w:cs="Calibri"/>
          <w:lang w:val="cs-CZ" w:eastAsia="cs-CZ" w:bidi="ar-SA"/>
        </w:rPr>
        <w:t xml:space="preserve">, </w:t>
      </w:r>
      <w:r w:rsidRPr="00807632">
        <w:rPr>
          <w:rFonts w:cs="Calibri"/>
          <w:lang w:val="cs-CZ" w:eastAsia="cs-CZ" w:bidi="ar-SA"/>
        </w:rPr>
        <w:t>SDO, spočívající ve změně zrnitosti a jeho roztřídění na velikostní frakce</w:t>
      </w:r>
      <w:r w:rsidR="00F45EF5" w:rsidRPr="00807632">
        <w:rPr>
          <w:rFonts w:cs="Calibri"/>
          <w:lang w:val="cs-CZ" w:eastAsia="cs-CZ" w:bidi="ar-SA"/>
        </w:rPr>
        <w:t xml:space="preserve">, </w:t>
      </w:r>
      <w:r w:rsidRPr="00807632">
        <w:rPr>
          <w:rFonts w:cs="Calibri"/>
          <w:lang w:val="cs-CZ" w:eastAsia="cs-CZ" w:bidi="ar-SA"/>
        </w:rPr>
        <w:t>v zařízeních k tomu určených</w:t>
      </w:r>
      <w:r w:rsidR="00F45EF5" w:rsidRPr="00807632">
        <w:rPr>
          <w:rFonts w:cs="Calibri"/>
          <w:lang w:val="cs-CZ" w:eastAsia="cs-CZ" w:bidi="ar-SA"/>
        </w:rPr>
        <w:t xml:space="preserve"> a certifikovaných</w:t>
      </w:r>
      <w:r w:rsidRPr="00807632">
        <w:rPr>
          <w:rFonts w:cs="Calibri"/>
          <w:lang w:val="cs-CZ" w:eastAsia="cs-CZ" w:bidi="ar-SA"/>
        </w:rPr>
        <w:t>.</w:t>
      </w:r>
      <w:r w:rsidR="00F45EF5" w:rsidRPr="00807632">
        <w:rPr>
          <w:rFonts w:cs="Calibri"/>
          <w:lang w:val="cs-CZ" w:eastAsia="cs-CZ" w:bidi="ar-SA"/>
        </w:rPr>
        <w:t xml:space="preserve"> </w:t>
      </w:r>
    </w:p>
    <w:p w:rsidR="00363EED" w:rsidRPr="00807632" w:rsidRDefault="00363EED" w:rsidP="00807632">
      <w:pPr>
        <w:autoSpaceDE w:val="0"/>
        <w:autoSpaceDN w:val="0"/>
        <w:adjustRightInd w:val="0"/>
        <w:spacing w:after="0"/>
        <w:ind w:firstLine="851"/>
        <w:jc w:val="both"/>
        <w:rPr>
          <w:rFonts w:cs="Calibri"/>
          <w:lang w:val="cs-CZ" w:eastAsia="cs-CZ" w:bidi="ar-SA"/>
        </w:rPr>
      </w:pPr>
      <w:r w:rsidRPr="00807632">
        <w:rPr>
          <w:rFonts w:cs="Calibri"/>
          <w:lang w:val="cs-CZ" w:eastAsia="cs-CZ" w:bidi="ar-SA"/>
        </w:rPr>
        <w:t>Recyklovaný stavební materiál bude členěn na :</w:t>
      </w:r>
    </w:p>
    <w:p w:rsidR="00363EED" w:rsidRPr="00807632" w:rsidRDefault="00363EED" w:rsidP="00807632">
      <w:pPr>
        <w:pStyle w:val="Odstavecseseznamem"/>
        <w:numPr>
          <w:ilvl w:val="0"/>
          <w:numId w:val="38"/>
        </w:numPr>
        <w:autoSpaceDE w:val="0"/>
        <w:autoSpaceDN w:val="0"/>
        <w:adjustRightInd w:val="0"/>
        <w:spacing w:after="0"/>
        <w:jc w:val="both"/>
        <w:rPr>
          <w:rFonts w:cs="Calibri"/>
          <w:lang w:val="cs-CZ" w:eastAsia="cs-CZ" w:bidi="ar-SA"/>
        </w:rPr>
      </w:pPr>
      <w:r w:rsidRPr="00807632">
        <w:rPr>
          <w:rFonts w:cs="Calibri"/>
          <w:b/>
          <w:bCs/>
          <w:lang w:val="cs-CZ" w:eastAsia="cs-CZ" w:bidi="ar-SA"/>
        </w:rPr>
        <w:t xml:space="preserve">recyklát z betonu </w:t>
      </w:r>
      <w:r w:rsidRPr="00807632">
        <w:rPr>
          <w:rFonts w:cs="Calibri"/>
          <w:lang w:val="cs-CZ" w:eastAsia="cs-CZ" w:bidi="ar-SA"/>
        </w:rPr>
        <w:t>– recyklované kamenivo získané drcením</w:t>
      </w:r>
      <w:r w:rsidR="00807632">
        <w:rPr>
          <w:rFonts w:cs="Calibri"/>
          <w:lang w:val="cs-CZ" w:eastAsia="cs-CZ" w:bidi="ar-SA"/>
        </w:rPr>
        <w:t xml:space="preserve"> </w:t>
      </w:r>
      <w:r w:rsidRPr="00807632">
        <w:rPr>
          <w:rFonts w:cs="Calibri"/>
          <w:lang w:val="cs-CZ" w:eastAsia="cs-CZ" w:bidi="ar-SA"/>
        </w:rPr>
        <w:t xml:space="preserve">a tříděním betonu a betonových výrobků, obsah složky </w:t>
      </w:r>
      <w:proofErr w:type="spellStart"/>
      <w:r w:rsidRPr="00807632">
        <w:rPr>
          <w:rFonts w:cs="Calibri"/>
          <w:lang w:val="cs-CZ" w:eastAsia="cs-CZ" w:bidi="ar-SA"/>
        </w:rPr>
        <w:t>Rc</w:t>
      </w:r>
      <w:proofErr w:type="spellEnd"/>
      <w:r w:rsidRPr="00807632">
        <w:rPr>
          <w:rFonts w:cs="Calibri"/>
          <w:lang w:val="cs-CZ" w:eastAsia="cs-CZ" w:bidi="ar-SA"/>
        </w:rPr>
        <w:t xml:space="preserve"> ≥ 90% hm.1, obsah (</w:t>
      </w:r>
      <w:proofErr w:type="spellStart"/>
      <w:r w:rsidRPr="00807632">
        <w:rPr>
          <w:rFonts w:cs="Calibri"/>
          <w:lang w:val="cs-CZ" w:eastAsia="cs-CZ" w:bidi="ar-SA"/>
        </w:rPr>
        <w:t>Ru</w:t>
      </w:r>
      <w:proofErr w:type="spellEnd"/>
      <w:r w:rsidR="00807632">
        <w:rPr>
          <w:rFonts w:cs="Calibri"/>
          <w:lang w:val="cs-CZ" w:eastAsia="cs-CZ" w:bidi="ar-SA"/>
        </w:rPr>
        <w:t xml:space="preserve"> </w:t>
      </w:r>
      <w:r w:rsidR="00F45EF5" w:rsidRPr="00807632">
        <w:rPr>
          <w:rFonts w:cs="Calibri"/>
          <w:lang w:val="cs-CZ" w:eastAsia="cs-CZ" w:bidi="ar-SA"/>
        </w:rPr>
        <w:t xml:space="preserve">+ </w:t>
      </w:r>
      <w:proofErr w:type="spellStart"/>
      <w:r w:rsidR="00F45EF5" w:rsidRPr="00807632">
        <w:rPr>
          <w:rFonts w:cs="Calibri"/>
          <w:lang w:val="cs-CZ" w:eastAsia="cs-CZ" w:bidi="ar-SA"/>
        </w:rPr>
        <w:t>Rb</w:t>
      </w:r>
      <w:proofErr w:type="spellEnd"/>
      <w:r w:rsidR="00F45EF5" w:rsidRPr="00807632">
        <w:rPr>
          <w:rFonts w:cs="Calibri"/>
          <w:lang w:val="cs-CZ" w:eastAsia="cs-CZ" w:bidi="ar-SA"/>
        </w:rPr>
        <w:t>) ≤ 6%, maximální obsah slož</w:t>
      </w:r>
      <w:r w:rsidRPr="00807632">
        <w:rPr>
          <w:rFonts w:cs="Calibri"/>
          <w:lang w:val="cs-CZ" w:eastAsia="cs-CZ" w:bidi="ar-SA"/>
        </w:rPr>
        <w:t xml:space="preserve">ky </w:t>
      </w:r>
      <w:proofErr w:type="spellStart"/>
      <w:r w:rsidRPr="00807632">
        <w:rPr>
          <w:rFonts w:cs="Calibri"/>
          <w:lang w:val="cs-CZ" w:eastAsia="cs-CZ" w:bidi="ar-SA"/>
        </w:rPr>
        <w:t>Rg</w:t>
      </w:r>
      <w:proofErr w:type="spellEnd"/>
      <w:r w:rsidRPr="00807632">
        <w:rPr>
          <w:rFonts w:cs="Calibri"/>
          <w:lang w:val="cs-CZ" w:eastAsia="cs-CZ" w:bidi="ar-SA"/>
        </w:rPr>
        <w:t xml:space="preserve"> ≤ 1% hm. Maximální obsah jiných,</w:t>
      </w:r>
      <w:r w:rsidR="00807632">
        <w:rPr>
          <w:rFonts w:cs="Calibri"/>
          <w:lang w:val="cs-CZ" w:eastAsia="cs-CZ" w:bidi="ar-SA"/>
        </w:rPr>
        <w:t xml:space="preserve"> </w:t>
      </w:r>
      <w:r w:rsidRPr="00807632">
        <w:rPr>
          <w:rFonts w:cs="Calibri"/>
          <w:lang w:val="cs-CZ" w:eastAsia="cs-CZ" w:bidi="ar-SA"/>
        </w:rPr>
        <w:t>ostatních a plovoucích částic (X+Y+FL) je 3% hm. FL se stanovuje objemově podle</w:t>
      </w:r>
      <w:r w:rsidR="00807632">
        <w:rPr>
          <w:rFonts w:cs="Calibri"/>
          <w:lang w:val="cs-CZ" w:eastAsia="cs-CZ" w:bidi="ar-SA"/>
        </w:rPr>
        <w:t xml:space="preserve"> </w:t>
      </w:r>
      <w:r w:rsidRPr="00807632">
        <w:rPr>
          <w:rFonts w:cs="Calibri"/>
          <w:lang w:val="cs-CZ" w:eastAsia="cs-CZ" w:bidi="ar-SA"/>
        </w:rPr>
        <w:t>ČSN EN 933-11. Pozn. Maximální množství plovoucích částic (FL) je 1%.</w:t>
      </w:r>
    </w:p>
    <w:p w:rsidR="00363EED" w:rsidRPr="00807632" w:rsidRDefault="00363EED" w:rsidP="00807632">
      <w:pPr>
        <w:pStyle w:val="Odstavecseseznamem"/>
        <w:numPr>
          <w:ilvl w:val="0"/>
          <w:numId w:val="38"/>
        </w:numPr>
        <w:autoSpaceDE w:val="0"/>
        <w:autoSpaceDN w:val="0"/>
        <w:adjustRightInd w:val="0"/>
        <w:spacing w:after="0"/>
        <w:jc w:val="both"/>
        <w:rPr>
          <w:rFonts w:cs="Calibri"/>
          <w:lang w:val="cs-CZ" w:eastAsia="cs-CZ" w:bidi="ar-SA"/>
        </w:rPr>
      </w:pPr>
      <w:r w:rsidRPr="00807632">
        <w:rPr>
          <w:rFonts w:cs="Calibri"/>
          <w:b/>
          <w:bCs/>
          <w:lang w:val="cs-CZ" w:eastAsia="cs-CZ" w:bidi="ar-SA"/>
        </w:rPr>
        <w:t xml:space="preserve">recyklát ze zdiva </w:t>
      </w:r>
      <w:r w:rsidRPr="00807632">
        <w:rPr>
          <w:rFonts w:cs="Calibri"/>
          <w:lang w:val="cs-CZ" w:eastAsia="cs-CZ" w:bidi="ar-SA"/>
        </w:rPr>
        <w:t>– recyklované kamenivo získané drcením a tříděním pálených</w:t>
      </w:r>
      <w:r w:rsidR="00807632">
        <w:rPr>
          <w:rFonts w:cs="Calibri"/>
          <w:lang w:val="cs-CZ" w:eastAsia="cs-CZ" w:bidi="ar-SA"/>
        </w:rPr>
        <w:t xml:space="preserve"> </w:t>
      </w:r>
      <w:r w:rsidRPr="00807632">
        <w:rPr>
          <w:rFonts w:cs="Calibri"/>
          <w:lang w:val="cs-CZ" w:eastAsia="cs-CZ" w:bidi="ar-SA"/>
        </w:rPr>
        <w:t>a nepálených zdících prvků (např. cihly, obkladačky, vápenopískové prvky,</w:t>
      </w:r>
      <w:r w:rsidR="00807632">
        <w:rPr>
          <w:rFonts w:cs="Calibri"/>
          <w:lang w:val="cs-CZ" w:eastAsia="cs-CZ" w:bidi="ar-SA"/>
        </w:rPr>
        <w:t xml:space="preserve"> </w:t>
      </w:r>
      <w:r w:rsidRPr="00807632">
        <w:rPr>
          <w:rFonts w:cs="Calibri"/>
          <w:lang w:val="cs-CZ" w:eastAsia="cs-CZ" w:bidi="ar-SA"/>
        </w:rPr>
        <w:t xml:space="preserve">pórobetonové tvárnice) a betonu s celkovým obsahem složek </w:t>
      </w:r>
      <w:proofErr w:type="spellStart"/>
      <w:r w:rsidRPr="00807632">
        <w:rPr>
          <w:rFonts w:cs="Calibri"/>
          <w:lang w:val="cs-CZ" w:eastAsia="cs-CZ" w:bidi="ar-SA"/>
        </w:rPr>
        <w:t>Rb</w:t>
      </w:r>
      <w:proofErr w:type="spellEnd"/>
      <w:r w:rsidRPr="00807632">
        <w:rPr>
          <w:rFonts w:cs="Calibri"/>
          <w:lang w:val="cs-CZ" w:eastAsia="cs-CZ" w:bidi="ar-SA"/>
        </w:rPr>
        <w:t xml:space="preserve"> + </w:t>
      </w:r>
      <w:proofErr w:type="spellStart"/>
      <w:r w:rsidRPr="00807632">
        <w:rPr>
          <w:rFonts w:cs="Calibri"/>
          <w:lang w:val="cs-CZ" w:eastAsia="cs-CZ" w:bidi="ar-SA"/>
        </w:rPr>
        <w:t>Rc</w:t>
      </w:r>
      <w:proofErr w:type="spellEnd"/>
      <w:r w:rsidRPr="00807632">
        <w:rPr>
          <w:rFonts w:cs="Calibri"/>
          <w:lang w:val="cs-CZ" w:eastAsia="cs-CZ" w:bidi="ar-SA"/>
        </w:rPr>
        <w:t xml:space="preserve"> + </w:t>
      </w:r>
      <w:proofErr w:type="spellStart"/>
      <w:r w:rsidRPr="00807632">
        <w:rPr>
          <w:rFonts w:cs="Calibri"/>
          <w:lang w:val="cs-CZ" w:eastAsia="cs-CZ" w:bidi="ar-SA"/>
        </w:rPr>
        <w:t>Ru</w:t>
      </w:r>
      <w:proofErr w:type="spellEnd"/>
      <w:r w:rsidRPr="00807632">
        <w:rPr>
          <w:rFonts w:cs="Calibri"/>
          <w:lang w:val="cs-CZ" w:eastAsia="cs-CZ" w:bidi="ar-SA"/>
        </w:rPr>
        <w:t xml:space="preserve"> ≥ 90%</w:t>
      </w:r>
      <w:r w:rsidR="00807632">
        <w:rPr>
          <w:rFonts w:cs="Calibri"/>
          <w:lang w:val="cs-CZ" w:eastAsia="cs-CZ" w:bidi="ar-SA"/>
        </w:rPr>
        <w:t xml:space="preserve"> </w:t>
      </w:r>
      <w:r w:rsidRPr="00807632">
        <w:rPr>
          <w:rFonts w:cs="Calibri"/>
          <w:lang w:val="cs-CZ" w:eastAsia="cs-CZ" w:bidi="ar-SA"/>
        </w:rPr>
        <w:t>hm. Složka jiných, ostatních a plovoucích částic (X+Y+FL) je maximálně 10% hm.</w:t>
      </w:r>
    </w:p>
    <w:p w:rsidR="00363EED" w:rsidRPr="00807632" w:rsidRDefault="00363EED" w:rsidP="00807632">
      <w:pPr>
        <w:pStyle w:val="Odstavecseseznamem"/>
        <w:numPr>
          <w:ilvl w:val="0"/>
          <w:numId w:val="39"/>
        </w:numPr>
        <w:autoSpaceDE w:val="0"/>
        <w:autoSpaceDN w:val="0"/>
        <w:adjustRightInd w:val="0"/>
        <w:spacing w:after="0"/>
        <w:jc w:val="both"/>
        <w:rPr>
          <w:rFonts w:cs="Calibri"/>
          <w:lang w:val="cs-CZ" w:eastAsia="cs-CZ" w:bidi="ar-SA"/>
        </w:rPr>
      </w:pPr>
      <w:r w:rsidRPr="00807632">
        <w:rPr>
          <w:rFonts w:cs="Calibri"/>
          <w:b/>
          <w:bCs/>
          <w:lang w:val="cs-CZ" w:eastAsia="cs-CZ" w:bidi="ar-SA"/>
        </w:rPr>
        <w:t xml:space="preserve">jiné částice (X) </w:t>
      </w:r>
      <w:r w:rsidRPr="00807632">
        <w:rPr>
          <w:rFonts w:cs="Calibri"/>
          <w:lang w:val="cs-CZ" w:eastAsia="cs-CZ" w:bidi="ar-SA"/>
        </w:rPr>
        <w:t>– v souladu s ČSN EN 933-11 se jedná o přilnavé částice (tj.</w:t>
      </w:r>
      <w:r w:rsidR="00807632">
        <w:rPr>
          <w:rFonts w:cs="Calibri"/>
          <w:lang w:val="cs-CZ" w:eastAsia="cs-CZ" w:bidi="ar-SA"/>
        </w:rPr>
        <w:t xml:space="preserve"> </w:t>
      </w:r>
      <w:r w:rsidRPr="00807632">
        <w:rPr>
          <w:rFonts w:cs="Calibri"/>
          <w:lang w:val="cs-CZ" w:eastAsia="cs-CZ" w:bidi="ar-SA"/>
        </w:rPr>
        <w:t>jemnozrnné jílovité zeminy a nečistoty), různorodé částice jako kovy (železné</w:t>
      </w:r>
      <w:r w:rsidR="00807632">
        <w:rPr>
          <w:rFonts w:cs="Calibri"/>
          <w:lang w:val="cs-CZ" w:eastAsia="cs-CZ" w:bidi="ar-SA"/>
        </w:rPr>
        <w:t xml:space="preserve"> </w:t>
      </w:r>
      <w:r w:rsidRPr="00807632">
        <w:rPr>
          <w:rFonts w:cs="Calibri"/>
          <w:lang w:val="cs-CZ" w:eastAsia="cs-CZ" w:bidi="ar-SA"/>
        </w:rPr>
        <w:t>a neželezné), neplovoucí dřevo, stavební plasty a pryž, sádrová omítka apod.;</w:t>
      </w:r>
    </w:p>
    <w:p w:rsidR="00363EED" w:rsidRPr="00807632" w:rsidRDefault="00363EED" w:rsidP="00807632">
      <w:pPr>
        <w:pStyle w:val="Odstavecseseznamem"/>
        <w:numPr>
          <w:ilvl w:val="0"/>
          <w:numId w:val="39"/>
        </w:numPr>
        <w:autoSpaceDE w:val="0"/>
        <w:autoSpaceDN w:val="0"/>
        <w:adjustRightInd w:val="0"/>
        <w:spacing w:after="0"/>
        <w:jc w:val="both"/>
        <w:rPr>
          <w:rFonts w:cs="Calibri"/>
          <w:lang w:val="cs-CZ" w:eastAsia="cs-CZ" w:bidi="ar-SA"/>
        </w:rPr>
      </w:pPr>
      <w:r w:rsidRPr="00807632">
        <w:rPr>
          <w:rFonts w:cs="Calibri"/>
          <w:b/>
          <w:bCs/>
          <w:lang w:val="cs-CZ" w:eastAsia="cs-CZ" w:bidi="ar-SA"/>
        </w:rPr>
        <w:t xml:space="preserve">ostatní částice (Y) </w:t>
      </w:r>
      <w:r w:rsidRPr="00807632">
        <w:rPr>
          <w:rFonts w:cs="Calibri"/>
          <w:lang w:val="cs-CZ" w:eastAsia="cs-CZ" w:bidi="ar-SA"/>
        </w:rPr>
        <w:t>– jedná se o částice nestavebního charakteru např. papír,</w:t>
      </w:r>
      <w:r w:rsidR="00807632">
        <w:rPr>
          <w:rFonts w:cs="Calibri"/>
          <w:lang w:val="cs-CZ" w:eastAsia="cs-CZ" w:bidi="ar-SA"/>
        </w:rPr>
        <w:t xml:space="preserve"> </w:t>
      </w:r>
      <w:r w:rsidRPr="00807632">
        <w:rPr>
          <w:rFonts w:cs="Calibri"/>
          <w:lang w:val="cs-CZ" w:eastAsia="cs-CZ" w:bidi="ar-SA"/>
        </w:rPr>
        <w:t>polyetylénové obaly, textil, organické materiály (např. humus, rašelina), apod.</w:t>
      </w:r>
      <w:r w:rsidR="00807632">
        <w:rPr>
          <w:rFonts w:cs="Calibri"/>
          <w:lang w:val="cs-CZ" w:eastAsia="cs-CZ" w:bidi="ar-SA"/>
        </w:rPr>
        <w:t xml:space="preserve"> </w:t>
      </w:r>
      <w:r w:rsidRPr="00807632">
        <w:rPr>
          <w:rFonts w:cs="Calibri"/>
          <w:lang w:val="cs-CZ" w:eastAsia="cs-CZ" w:bidi="ar-SA"/>
        </w:rPr>
        <w:t>Z hlediska stanovování obsahu ostatních částic (Y) se tyto přiřazují při zkoušce</w:t>
      </w:r>
      <w:r w:rsidR="00807632">
        <w:rPr>
          <w:rFonts w:cs="Calibri"/>
          <w:lang w:val="cs-CZ" w:eastAsia="cs-CZ" w:bidi="ar-SA"/>
        </w:rPr>
        <w:t xml:space="preserve"> </w:t>
      </w:r>
      <w:r w:rsidRPr="00807632">
        <w:rPr>
          <w:rFonts w:cs="Calibri"/>
          <w:lang w:val="cs-CZ" w:eastAsia="cs-CZ" w:bidi="ar-SA"/>
        </w:rPr>
        <w:t>podle ČSN EN 933-11 ke složce jiných částic (X).</w:t>
      </w:r>
    </w:p>
    <w:p w:rsidR="00363EED" w:rsidRPr="00807632" w:rsidRDefault="00363EED" w:rsidP="00807632">
      <w:pPr>
        <w:pStyle w:val="Odstavecseseznamem"/>
        <w:numPr>
          <w:ilvl w:val="0"/>
          <w:numId w:val="38"/>
        </w:numPr>
        <w:autoSpaceDE w:val="0"/>
        <w:autoSpaceDN w:val="0"/>
        <w:adjustRightInd w:val="0"/>
        <w:spacing w:after="0"/>
        <w:jc w:val="both"/>
        <w:rPr>
          <w:rFonts w:cs="Calibri"/>
          <w:lang w:val="cs-CZ" w:eastAsia="cs-CZ" w:bidi="ar-SA"/>
        </w:rPr>
      </w:pPr>
      <w:r w:rsidRPr="00807632">
        <w:rPr>
          <w:rFonts w:cs="Calibri"/>
          <w:b/>
          <w:bCs/>
          <w:lang w:val="cs-CZ" w:eastAsia="cs-CZ" w:bidi="ar-SA"/>
        </w:rPr>
        <w:t xml:space="preserve">plovoucí částice (FL) </w:t>
      </w:r>
      <w:r w:rsidRPr="00807632">
        <w:rPr>
          <w:rFonts w:cs="Calibri"/>
          <w:lang w:val="cs-CZ" w:eastAsia="cs-CZ" w:bidi="ar-SA"/>
        </w:rPr>
        <w:t>– stanoví se v souladu s ČSN EN 933-11. Jedná se</w:t>
      </w:r>
      <w:r w:rsidR="00807632">
        <w:rPr>
          <w:rFonts w:cs="Calibri"/>
          <w:lang w:val="cs-CZ" w:eastAsia="cs-CZ" w:bidi="ar-SA"/>
        </w:rPr>
        <w:t xml:space="preserve"> </w:t>
      </w:r>
      <w:r w:rsidRPr="00807632">
        <w:rPr>
          <w:rFonts w:cs="Calibri"/>
          <w:lang w:val="cs-CZ" w:eastAsia="cs-CZ" w:bidi="ar-SA"/>
        </w:rPr>
        <w:t>o částice, které plovou ve vodě (např. plovoucí dřevo, polystyrén, apod.).</w:t>
      </w:r>
    </w:p>
    <w:p w:rsidR="00807632" w:rsidRPr="00807632" w:rsidRDefault="00807632" w:rsidP="008076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D7544A">
      <w:pPr>
        <w:numPr>
          <w:ilvl w:val="0"/>
          <w:numId w:val="17"/>
        </w:numPr>
        <w:spacing w:after="0"/>
        <w:jc w:val="both"/>
        <w:rPr>
          <w:lang w:val="cs-CZ"/>
        </w:rPr>
      </w:pPr>
      <w:r w:rsidRPr="008F7358">
        <w:rPr>
          <w:lang w:val="cs-CZ"/>
        </w:rPr>
        <w:lastRenderedPageBreak/>
        <w:t>kompletní provedení stavby v rozsahu dle schválené projektové dokumentace a cenové nabídky zhotovitele,</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A44C5F" w:rsidP="001D71B1">
      <w:pPr>
        <w:pStyle w:val="Odstavecseseznamem"/>
        <w:numPr>
          <w:ilvl w:val="0"/>
          <w:numId w:val="5"/>
        </w:numPr>
        <w:overflowPunct w:val="0"/>
        <w:autoSpaceDE w:val="0"/>
        <w:autoSpaceDN w:val="0"/>
        <w:adjustRightInd w:val="0"/>
        <w:spacing w:line="240" w:lineRule="atLeast"/>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w:t>
      </w:r>
      <w:r w:rsidR="003E0040" w:rsidRPr="003E0040">
        <w:rPr>
          <w:rFonts w:asciiTheme="minorHAnsi" w:hAnsiTheme="minorHAnsi" w:cs="Arial"/>
          <w:lang w:val="cs-CZ"/>
        </w:rPr>
        <w:t xml:space="preserve">je </w:t>
      </w:r>
      <w:r w:rsidR="00837EDB" w:rsidRPr="00837EDB">
        <w:rPr>
          <w:rFonts w:asciiTheme="minorHAnsi" w:hAnsiTheme="minorHAnsi" w:cs="Arial"/>
          <w:lang w:val="cs-CZ"/>
        </w:rPr>
        <w:t xml:space="preserve">p. p. č. </w:t>
      </w:r>
      <w:r w:rsidR="001D71B1">
        <w:rPr>
          <w:rFonts w:asciiTheme="minorHAnsi" w:hAnsiTheme="minorHAnsi" w:cs="Arial"/>
          <w:lang w:val="cs-CZ"/>
        </w:rPr>
        <w:t>1126/1 a 1125</w:t>
      </w:r>
      <w:r w:rsidR="00763A0C" w:rsidRPr="00763A0C">
        <w:rPr>
          <w:rFonts w:asciiTheme="minorHAnsi" w:hAnsiTheme="minorHAnsi" w:cs="Arial"/>
          <w:lang w:val="cs-CZ"/>
        </w:rPr>
        <w:t xml:space="preserve"> v katastrálním území </w:t>
      </w:r>
      <w:r w:rsidR="001D71B1">
        <w:rPr>
          <w:rFonts w:asciiTheme="minorHAnsi" w:hAnsiTheme="minorHAnsi" w:cs="Arial"/>
          <w:lang w:val="cs-CZ"/>
        </w:rPr>
        <w:t>Horní Slavkov</w:t>
      </w:r>
      <w:r w:rsidR="00227F79" w:rsidRPr="00837EDB">
        <w:rPr>
          <w:rFonts w:asciiTheme="minorHAnsi" w:hAnsiTheme="minorHAnsi" w:cs="Arial"/>
          <w:lang w:val="cs-CZ"/>
        </w:rPr>
        <w:t>.</w:t>
      </w:r>
    </w:p>
    <w:p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ED2F9E" w:rsidRPr="001D71B1" w:rsidRDefault="00535C0A" w:rsidP="001D71B1">
      <w:pPr>
        <w:pStyle w:val="Bezmezer"/>
        <w:numPr>
          <w:ilvl w:val="0"/>
          <w:numId w:val="22"/>
        </w:numPr>
        <w:ind w:left="1276" w:hanging="425"/>
        <w:jc w:val="both"/>
        <w:rPr>
          <w:rFonts w:asciiTheme="minorHAnsi" w:hAnsiTheme="minorHAnsi"/>
          <w:lang w:val="cs-CZ"/>
        </w:rPr>
      </w:pPr>
      <w:r>
        <w:rPr>
          <w:rFonts w:asciiTheme="minorHAnsi" w:hAnsiTheme="minorHAnsi"/>
          <w:lang w:val="cs-CZ"/>
        </w:rPr>
        <w:t xml:space="preserve">projektovou dokumentací </w:t>
      </w:r>
      <w:r w:rsidR="001D71B1">
        <w:rPr>
          <w:rFonts w:asciiTheme="minorHAnsi" w:hAnsiTheme="minorHAnsi"/>
          <w:lang w:val="cs-CZ"/>
        </w:rPr>
        <w:t xml:space="preserve">zpracovanou společností, </w:t>
      </w:r>
      <w:r w:rsidR="001D71B1" w:rsidRPr="001D71B1">
        <w:rPr>
          <w:rFonts w:asciiTheme="minorHAnsi" w:hAnsiTheme="minorHAnsi"/>
          <w:lang w:val="cs-CZ"/>
        </w:rPr>
        <w:t>CENTRA  STAV s.r.o., Zahr</w:t>
      </w:r>
      <w:r w:rsidR="001D71B1">
        <w:rPr>
          <w:rFonts w:asciiTheme="minorHAnsi" w:hAnsiTheme="minorHAnsi"/>
          <w:lang w:val="cs-CZ"/>
        </w:rPr>
        <w:t>adní 928, 357 31 Horní Slavkov, IČ</w:t>
      </w:r>
      <w:r w:rsidR="001D71B1" w:rsidRPr="001D71B1">
        <w:rPr>
          <w:rFonts w:asciiTheme="minorHAnsi" w:hAnsiTheme="minorHAnsi"/>
          <w:lang w:val="cs-CZ"/>
        </w:rPr>
        <w:t>: 252 47</w:t>
      </w:r>
      <w:r w:rsidR="001D71B1">
        <w:rPr>
          <w:rFonts w:asciiTheme="minorHAnsi" w:hAnsiTheme="minorHAnsi"/>
          <w:lang w:val="cs-CZ"/>
        </w:rPr>
        <w:t> </w:t>
      </w:r>
      <w:r w:rsidR="001D71B1" w:rsidRPr="001D71B1">
        <w:rPr>
          <w:rFonts w:asciiTheme="minorHAnsi" w:hAnsiTheme="minorHAnsi"/>
          <w:lang w:val="cs-CZ"/>
        </w:rPr>
        <w:t>107</w:t>
      </w:r>
      <w:r w:rsidR="001D71B1">
        <w:rPr>
          <w:rFonts w:asciiTheme="minorHAnsi" w:hAnsiTheme="minorHAnsi"/>
          <w:lang w:val="cs-CZ"/>
        </w:rPr>
        <w:t xml:space="preserve">, </w:t>
      </w:r>
      <w:r w:rsidRPr="001D71B1">
        <w:rPr>
          <w:rFonts w:asciiTheme="minorHAnsi" w:hAnsiTheme="minorHAnsi"/>
          <w:lang w:val="cs-CZ"/>
        </w:rPr>
        <w:t>z </w:t>
      </w:r>
      <w:r w:rsidR="001D71B1" w:rsidRPr="001D71B1">
        <w:rPr>
          <w:rFonts w:asciiTheme="minorHAnsi" w:hAnsiTheme="minorHAnsi"/>
          <w:lang w:val="cs-CZ"/>
        </w:rPr>
        <w:t>července</w:t>
      </w:r>
      <w:r w:rsidRPr="001D71B1">
        <w:rPr>
          <w:rFonts w:asciiTheme="minorHAnsi" w:hAnsiTheme="minorHAnsi"/>
          <w:lang w:val="cs-CZ"/>
        </w:rPr>
        <w:t xml:space="preserve"> 2022 (dále jen „projektová dokumentace“),</w:t>
      </w:r>
    </w:p>
    <w:p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B1471">
        <w:rPr>
          <w:rFonts w:asciiTheme="majorHAnsi" w:hAnsiTheme="majorHAnsi"/>
          <w:highlight w:val="cyan"/>
          <w:lang w:val="cs-CZ"/>
        </w:rPr>
        <w:t>dne……………..2024</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1D71B1" w:rsidRDefault="005374DD" w:rsidP="001D71B1">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1D71B1" w:rsidRPr="001D71B1">
        <w:rPr>
          <w:rFonts w:asciiTheme="minorHAnsi" w:hAnsiTheme="minorHAnsi"/>
          <w:lang w:val="cs-CZ"/>
        </w:rPr>
        <w:t xml:space="preserve">Revitalizace </w:t>
      </w:r>
      <w:proofErr w:type="spellStart"/>
      <w:r w:rsidR="001D71B1" w:rsidRPr="001D71B1">
        <w:rPr>
          <w:rFonts w:asciiTheme="minorHAnsi" w:hAnsiTheme="minorHAnsi"/>
          <w:lang w:val="cs-CZ"/>
        </w:rPr>
        <w:t>brownf</w:t>
      </w:r>
      <w:r w:rsidR="001D71B1">
        <w:rPr>
          <w:rFonts w:asciiTheme="minorHAnsi" w:hAnsiTheme="minorHAnsi"/>
          <w:lang w:val="cs-CZ"/>
        </w:rPr>
        <w:t>ieldu</w:t>
      </w:r>
      <w:proofErr w:type="spellEnd"/>
      <w:r w:rsidR="001D71B1">
        <w:rPr>
          <w:rFonts w:asciiTheme="minorHAnsi" w:hAnsiTheme="minorHAnsi"/>
          <w:lang w:val="cs-CZ"/>
        </w:rPr>
        <w:t xml:space="preserve"> výtopny – východní část, </w:t>
      </w:r>
      <w:r w:rsidR="001D71B1" w:rsidRPr="001D71B1">
        <w:rPr>
          <w:rFonts w:asciiTheme="minorHAnsi" w:hAnsiTheme="minorHAnsi"/>
          <w:lang w:val="cs-CZ"/>
        </w:rPr>
        <w:t>demolice budov</w:t>
      </w:r>
      <w:r w:rsidR="00C73715">
        <w:rPr>
          <w:rFonts w:asciiTheme="minorHAnsi" w:hAnsiTheme="minorHAnsi"/>
          <w:lang w:val="cs-CZ"/>
        </w:rPr>
        <w:t xml:space="preserve"> – I. Dílčí část</w:t>
      </w:r>
      <w:r w:rsidR="00A44C5F" w:rsidRPr="001D71B1">
        <w:rPr>
          <w:rFonts w:asciiTheme="minorHAnsi" w:hAnsiTheme="minorHAnsi"/>
          <w:lang w:val="cs-CZ"/>
        </w:rPr>
        <w:t>“</w:t>
      </w:r>
      <w:r w:rsidR="009F65F3" w:rsidRPr="001D71B1">
        <w:rPr>
          <w:rFonts w:asciiTheme="minorHAnsi" w:hAnsiTheme="minorHAnsi"/>
          <w:lang w:val="cs-CZ"/>
        </w:rPr>
        <w:t xml:space="preserve">. Oceněný </w:t>
      </w:r>
      <w:r w:rsidR="003C1FBD" w:rsidRPr="001D71B1">
        <w:rPr>
          <w:rFonts w:asciiTheme="minorHAnsi" w:hAnsiTheme="minorHAnsi"/>
          <w:lang w:val="cs-CZ"/>
        </w:rPr>
        <w:t>položkový rozpočet</w:t>
      </w:r>
      <w:r w:rsidR="009F65F3" w:rsidRPr="001D71B1">
        <w:rPr>
          <w:rFonts w:asciiTheme="minorHAnsi" w:hAnsiTheme="minorHAnsi"/>
          <w:lang w:val="cs-CZ"/>
        </w:rPr>
        <w:t xml:space="preserve"> tvoří přílohu </w:t>
      </w:r>
      <w:r w:rsidR="003C1FBD" w:rsidRPr="001D71B1">
        <w:rPr>
          <w:rFonts w:asciiTheme="minorHAnsi" w:hAnsiTheme="minorHAnsi"/>
          <w:lang w:val="cs-CZ"/>
        </w:rPr>
        <w:t xml:space="preserve">č. 1 </w:t>
      </w:r>
      <w:r w:rsidR="009F65F3" w:rsidRPr="001D71B1">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xml:space="preserve">,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3B6A5D" w:rsidRDefault="009811A5" w:rsidP="00FC2338">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Cena za provedení díla v sobě nezahrnuje rezervu na nepředvídané práce, které nemohla v dostatečném rozsahu postihnout</w:t>
      </w:r>
      <w:r w:rsidR="003B6A5D">
        <w:rPr>
          <w:rFonts w:asciiTheme="minorHAnsi" w:hAnsiTheme="minorHAnsi" w:cs="Arial"/>
          <w:lang w:val="cs-CZ"/>
        </w:rPr>
        <w:t xml:space="preserve"> projektová dokumentace stavby.</w:t>
      </w:r>
    </w:p>
    <w:p w:rsidR="003B6A5D" w:rsidRPr="00FC2338" w:rsidRDefault="003B6A5D" w:rsidP="003B6A5D">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DB7579" w:rsidRDefault="00270F20" w:rsidP="00B7357E">
      <w:pPr>
        <w:pStyle w:val="Odstavecseseznamem"/>
        <w:spacing w:before="120" w:after="120"/>
        <w:ind w:left="785" w:firstLine="0"/>
        <w:jc w:val="center"/>
        <w:rPr>
          <w:b/>
          <w:caps/>
          <w:lang w:val="cs-CZ"/>
        </w:rPr>
      </w:pPr>
      <w:r w:rsidRPr="00DB7579">
        <w:rPr>
          <w:b/>
          <w:caps/>
          <w:lang w:val="cs-CZ"/>
        </w:rPr>
        <w:t>Platební podmínky</w:t>
      </w:r>
    </w:p>
    <w:p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7D7AC0"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Bez těchto dokladů je faktura neúplná a nelze ji proplatit.</w:t>
      </w:r>
    </w:p>
    <w:p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soupisu skutečně provedených prací, a to až do výše 90% celkové ceny díla. Zbylou část do výše 100% celkové ceny díla vyfakturuje až po předání a převzetí díla bez vad a nedodělků.</w:t>
      </w:r>
    </w:p>
    <w:p w:rsidR="009B2C0F" w:rsidRPr="008F7358" w:rsidRDefault="009B2C0F" w:rsidP="00D7544A">
      <w:pPr>
        <w:numPr>
          <w:ilvl w:val="0"/>
          <w:numId w:val="7"/>
        </w:numPr>
        <w:ind w:left="714" w:hanging="357"/>
        <w:jc w:val="both"/>
        <w:rPr>
          <w:lang w:val="cs-CZ"/>
        </w:rPr>
      </w:pPr>
      <w:r w:rsidRPr="00E14520">
        <w:rPr>
          <w:rFonts w:cs="Verdana"/>
          <w:b/>
          <w:bCs/>
          <w:lang w:val="cs-CZ"/>
        </w:rPr>
        <w:t>Splatnost faktur je 30</w:t>
      </w:r>
      <w:r w:rsidRPr="00E14520">
        <w:rPr>
          <w:rFonts w:cs="Verdana"/>
          <w:b/>
          <w:bCs/>
          <w:color w:val="FF0000"/>
          <w:lang w:val="cs-CZ"/>
        </w:rPr>
        <w:t xml:space="preserve"> </w:t>
      </w:r>
      <w:r w:rsidRPr="00E14520">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8226AE" w:rsidRDefault="008226AE" w:rsidP="00FC2338">
      <w:pPr>
        <w:numPr>
          <w:ilvl w:val="0"/>
          <w:numId w:val="7"/>
        </w:numPr>
        <w:ind w:left="714" w:hanging="357"/>
        <w:jc w:val="both"/>
        <w:rPr>
          <w:lang w:val="cs-CZ"/>
        </w:rPr>
      </w:pPr>
      <w:r>
        <w:rPr>
          <w:lang w:val="cs-CZ"/>
        </w:rPr>
        <w:t xml:space="preserve">Zhotovitel označí všechny </w:t>
      </w:r>
      <w:r w:rsidR="000E1220">
        <w:rPr>
          <w:lang w:val="cs-CZ"/>
        </w:rPr>
        <w:t>vystavené faktury registračním číslem projektu: 4/NPOBF/2023</w:t>
      </w: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rsidR="00F929FF" w:rsidRPr="00F929FF" w:rsidRDefault="009A2EF1" w:rsidP="00F929FF">
      <w:pPr>
        <w:spacing w:after="0"/>
        <w:ind w:firstLine="708"/>
        <w:rPr>
          <w:rFonts w:asciiTheme="minorHAnsi" w:eastAsia="Calibri" w:hAnsiTheme="minorHAnsi" w:cstheme="minorHAnsi"/>
          <w:bCs/>
          <w:lang w:val="cs-CZ" w:bidi="ar-SA"/>
        </w:rPr>
      </w:pPr>
      <w:r w:rsidRPr="009A2EF1">
        <w:rPr>
          <w:rFonts w:asciiTheme="minorHAnsi" w:eastAsia="Calibri" w:hAnsiTheme="minorHAnsi" w:cstheme="minorHAnsi"/>
          <w:bCs/>
          <w:lang w:val="cs-CZ" w:bidi="ar-SA"/>
        </w:rPr>
        <w:t>Zahájení prací:</w:t>
      </w:r>
      <w:r w:rsidRPr="009A2EF1">
        <w:rPr>
          <w:rFonts w:asciiTheme="minorHAnsi" w:eastAsia="Calibri" w:hAnsiTheme="minorHAnsi" w:cstheme="minorHAnsi"/>
          <w:bCs/>
          <w:lang w:val="cs-CZ" w:bidi="ar-SA"/>
        </w:rPr>
        <w:tab/>
      </w:r>
      <w:r w:rsidRPr="009A2EF1">
        <w:rPr>
          <w:rFonts w:asciiTheme="minorHAnsi" w:eastAsia="Calibri" w:hAnsiTheme="minorHAnsi" w:cstheme="minorHAnsi"/>
          <w:bCs/>
          <w:lang w:val="cs-CZ" w:bidi="ar-SA"/>
        </w:rPr>
        <w:tab/>
      </w:r>
      <w:r w:rsidR="00F929FF" w:rsidRPr="00F929FF">
        <w:rPr>
          <w:rFonts w:asciiTheme="minorHAnsi" w:eastAsia="Calibri" w:hAnsiTheme="minorHAnsi" w:cstheme="minorHAnsi"/>
          <w:bCs/>
          <w:lang w:val="cs-CZ" w:bidi="ar-SA"/>
        </w:rPr>
        <w:t>nejdříve 1. dubna 2024</w:t>
      </w:r>
    </w:p>
    <w:p w:rsidR="009A2EF1" w:rsidRDefault="00F929FF" w:rsidP="00F929FF">
      <w:pPr>
        <w:spacing w:after="0"/>
        <w:ind w:firstLine="708"/>
        <w:rPr>
          <w:rFonts w:asciiTheme="minorHAnsi" w:eastAsia="Calibri" w:hAnsiTheme="minorHAnsi" w:cstheme="minorHAnsi"/>
          <w:bCs/>
          <w:lang w:val="cs-CZ" w:bidi="ar-SA"/>
        </w:rPr>
      </w:pPr>
      <w:r w:rsidRPr="00F929FF">
        <w:rPr>
          <w:rFonts w:asciiTheme="minorHAnsi" w:eastAsia="Calibri" w:hAnsiTheme="minorHAnsi" w:cstheme="minorHAnsi"/>
          <w:bCs/>
          <w:lang w:val="cs-CZ" w:bidi="ar-SA"/>
        </w:rPr>
        <w:t>Ukončení prací:</w:t>
      </w:r>
      <w:r w:rsidRPr="00F929FF">
        <w:rPr>
          <w:rFonts w:asciiTheme="minorHAnsi" w:eastAsia="Calibri" w:hAnsiTheme="minorHAnsi" w:cstheme="minorHAnsi"/>
          <w:bCs/>
          <w:lang w:val="cs-CZ" w:bidi="ar-SA"/>
        </w:rPr>
        <w:tab/>
      </w:r>
      <w:r w:rsidRPr="00F929FF">
        <w:rPr>
          <w:rFonts w:asciiTheme="minorHAnsi" w:eastAsia="Calibri" w:hAnsiTheme="minorHAnsi" w:cstheme="minorHAnsi"/>
          <w:bCs/>
          <w:lang w:val="cs-CZ" w:bidi="ar-SA"/>
        </w:rPr>
        <w:tab/>
      </w:r>
      <w:r w:rsidRPr="00F929FF">
        <w:rPr>
          <w:rFonts w:asciiTheme="minorHAnsi" w:eastAsia="Calibri" w:hAnsiTheme="minorHAnsi" w:cstheme="minorHAnsi"/>
          <w:b/>
          <w:bCs/>
          <w:lang w:val="cs-CZ" w:bidi="ar-SA"/>
        </w:rPr>
        <w:t>nejdéle do 31. července 2024</w:t>
      </w:r>
    </w:p>
    <w:p w:rsidR="00F929FF" w:rsidRDefault="00F929FF" w:rsidP="00F929FF">
      <w:pPr>
        <w:spacing w:after="0"/>
        <w:ind w:firstLine="708"/>
        <w:rPr>
          <w:b/>
          <w:lang w:val="cs-CZ"/>
        </w:rPr>
      </w:pPr>
    </w:p>
    <w:p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rsidR="00FD5538" w:rsidRPr="008F7358" w:rsidRDefault="00FD5538" w:rsidP="00FD5538">
      <w:pPr>
        <w:pStyle w:val="Bezmezer"/>
        <w:numPr>
          <w:ilvl w:val="0"/>
          <w:numId w:val="0"/>
        </w:numPr>
        <w:ind w:left="709"/>
        <w:jc w:val="both"/>
        <w:rPr>
          <w:rFonts w:asciiTheme="majorHAnsi" w:hAnsiTheme="majorHAnsi"/>
          <w:b/>
          <w:lang w:val="cs-CZ"/>
        </w:rPr>
      </w:pPr>
    </w:p>
    <w:p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rsidR="00B27732" w:rsidRPr="008F7358" w:rsidRDefault="00B27732" w:rsidP="00FD5538">
      <w:pPr>
        <w:pStyle w:val="Bezmezer"/>
        <w:numPr>
          <w:ilvl w:val="0"/>
          <w:numId w:val="0"/>
        </w:numPr>
        <w:ind w:left="709"/>
        <w:jc w:val="both"/>
        <w:rPr>
          <w:lang w:val="cs-CZ"/>
        </w:rPr>
      </w:pPr>
    </w:p>
    <w:p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rsidR="000052B6" w:rsidRPr="00A44C5F" w:rsidRDefault="000052B6" w:rsidP="00A44C5F">
      <w:pPr>
        <w:pStyle w:val="Bezmezer"/>
        <w:numPr>
          <w:ilvl w:val="0"/>
          <w:numId w:val="0"/>
        </w:numPr>
        <w:ind w:left="709"/>
        <w:jc w:val="both"/>
        <w:rPr>
          <w:rFonts w:asciiTheme="minorHAnsi" w:hAnsiTheme="minorHAnsi"/>
          <w:lang w:val="cs-CZ"/>
        </w:rPr>
      </w:pPr>
    </w:p>
    <w:p w:rsidR="003F19D6" w:rsidRPr="003F19D6" w:rsidRDefault="003F19D6" w:rsidP="00D7544A">
      <w:pPr>
        <w:numPr>
          <w:ilvl w:val="0"/>
          <w:numId w:val="8"/>
        </w:numPr>
        <w:jc w:val="both"/>
        <w:rPr>
          <w:rFonts w:cs="Verdana"/>
          <w:bCs/>
          <w:lang w:val="cs-CZ"/>
        </w:rPr>
      </w:pPr>
      <w:r w:rsidRPr="003F19D6">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Pr="003F19D6">
        <w:rPr>
          <w:rFonts w:cs="Verdana"/>
          <w:bCs/>
          <w:lang w:val="cs-CZ"/>
        </w:rPr>
        <w:t>. Toto právo si objednatel výslovně vyhrazuje. Dřívější termín dokončení díla je možný, stejně tak je možný dřívější termín zahájení plnění, vše po dohodě obou stran.</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rsidR="00E67D1A" w:rsidRDefault="00E67D1A" w:rsidP="00D7544A">
      <w:pPr>
        <w:numPr>
          <w:ilvl w:val="1"/>
          <w:numId w:val="9"/>
        </w:numPr>
        <w:spacing w:after="0"/>
        <w:rPr>
          <w:lang w:val="cs-CZ"/>
        </w:rPr>
      </w:pPr>
      <w:r w:rsidRPr="008F7358">
        <w:rPr>
          <w:lang w:val="cs-CZ"/>
        </w:rPr>
        <w:t>Při dodatečných požadavcích objednatele na další stavební úpravy.</w:t>
      </w:r>
    </w:p>
    <w:p w:rsidR="00A67438" w:rsidRPr="008F7358" w:rsidRDefault="00A67438" w:rsidP="00D7544A">
      <w:pPr>
        <w:numPr>
          <w:ilvl w:val="1"/>
          <w:numId w:val="9"/>
        </w:numPr>
        <w:spacing w:after="0"/>
        <w:rPr>
          <w:lang w:val="cs-CZ"/>
        </w:rPr>
      </w:pPr>
      <w:r>
        <w:rPr>
          <w:lang w:val="cs-CZ"/>
        </w:rPr>
        <w:t>V případě prodloužení termínu realizace u zakázky na výměnu potrubí STL plynovodu.</w:t>
      </w:r>
    </w:p>
    <w:p w:rsidR="00B7667A" w:rsidRPr="008F7358" w:rsidRDefault="00B7667A" w:rsidP="00B7667A">
      <w:pPr>
        <w:spacing w:after="0"/>
        <w:ind w:left="1364" w:firstLine="0"/>
        <w:rPr>
          <w:sz w:val="8"/>
          <w:szCs w:val="8"/>
          <w:lang w:val="cs-CZ"/>
        </w:rPr>
      </w:pPr>
    </w:p>
    <w:p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BF68C6"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w:t>
      </w:r>
      <w:r w:rsidR="00132B7D">
        <w:rPr>
          <w:lang w:val="cs-CZ"/>
        </w:rPr>
        <w:t>max</w:t>
      </w:r>
      <w:r w:rsidRPr="008F7358">
        <w:rPr>
          <w:lang w:val="cs-CZ"/>
        </w:rPr>
        <w:t xml:space="preserve">. </w:t>
      </w:r>
      <w:r w:rsidR="00132B7D">
        <w:rPr>
          <w:lang w:val="cs-CZ"/>
        </w:rPr>
        <w:t>10</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847FB" w:rsidRDefault="000B7051" w:rsidP="00D7544A">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807632" w:rsidRPr="000847FB" w:rsidRDefault="00807632" w:rsidP="00807632">
      <w:pPr>
        <w:spacing w:afterLines="60" w:after="144"/>
        <w:ind w:left="720" w:firstLine="0"/>
        <w:jc w:val="both"/>
        <w:rPr>
          <w:lang w:val="cs-CZ"/>
        </w:rPr>
      </w:pP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08E5" w:rsidRPr="00F05E7C"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ve výši </w:t>
      </w:r>
      <w:r w:rsidR="002D2591" w:rsidRPr="008F7358">
        <w:rPr>
          <w:lang w:val="cs-CZ"/>
        </w:rPr>
        <w:t>0,</w:t>
      </w:r>
      <w:r w:rsidR="00DB7579">
        <w:rPr>
          <w:lang w:val="cs-CZ"/>
        </w:rPr>
        <w:t xml:space="preserve"> </w:t>
      </w:r>
      <w:r w:rsidR="002D2591" w:rsidRPr="008F7358">
        <w:rPr>
          <w:lang w:val="cs-CZ"/>
        </w:rPr>
        <w:t>15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smluvní pokutu 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vyjma povinností uvedených v předchozích odstavcích tohoto článku, je objednatel oprávněn účtovat zhotoviteli smluvní pokutu 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052B6" w:rsidRDefault="000B7051" w:rsidP="00D7544A">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D7544A" w:rsidRDefault="000576E4" w:rsidP="0018125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rsidR="0018125C" w:rsidRPr="0018125C" w:rsidRDefault="0018125C" w:rsidP="0018125C">
      <w:pPr>
        <w:pStyle w:val="Bezmezer"/>
        <w:numPr>
          <w:ilvl w:val="0"/>
          <w:numId w:val="0"/>
        </w:numPr>
        <w:ind w:left="993"/>
        <w:jc w:val="both"/>
        <w:rPr>
          <w:snapToGrid w:val="0"/>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D7544A">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052B6" w:rsidRPr="008F7358" w:rsidRDefault="000052B6" w:rsidP="000052B6">
      <w:pPr>
        <w:ind w:left="357"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D7544A">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7A343A">
        <w:rPr>
          <w:lang w:val="cs-CZ"/>
        </w:rPr>
        <w:t>2034</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D7544A">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7A343A">
        <w:rPr>
          <w:lang w:val="cs-CZ"/>
        </w:rPr>
        <w:t xml:space="preserve"> 31. 12. 2034</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7A343A">
        <w:rPr>
          <w:lang w:val="cs-CZ"/>
        </w:rPr>
        <w:t>2034</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rsidR="006A1D86" w:rsidRDefault="000B7051" w:rsidP="00D7544A">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D7544A">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s podílem spo</w:t>
      </w:r>
      <w:r w:rsidR="00ED2F9E">
        <w:rPr>
          <w:lang w:val="cs-CZ"/>
        </w:rPr>
        <w:t>luúčasti zhotovitele ve výši max. 10</w:t>
      </w:r>
      <w:r w:rsidRPr="000052B6">
        <w:rPr>
          <w:lang w:val="cs-CZ"/>
        </w:rPr>
        <w:t>.000,-</w:t>
      </w:r>
      <w:r w:rsidR="00987B34">
        <w:rPr>
          <w:lang w:val="cs-CZ"/>
        </w:rPr>
        <w:t xml:space="preserve"> </w:t>
      </w:r>
      <w:r w:rsidRPr="000052B6">
        <w:rPr>
          <w:lang w:val="cs-CZ"/>
        </w:rPr>
        <w:t xml:space="preserve">Kč. </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D7544A">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D7544A">
      <w:pPr>
        <w:pStyle w:val="Odstavecseseznamem"/>
        <w:numPr>
          <w:ilvl w:val="0"/>
          <w:numId w:val="31"/>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D7544A">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D7544A">
      <w:pPr>
        <w:pStyle w:val="Odstavecseseznamem"/>
        <w:numPr>
          <w:ilvl w:val="0"/>
          <w:numId w:val="31"/>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BC485F" w:rsidRDefault="00BC485F" w:rsidP="00D7544A">
      <w:pPr>
        <w:pStyle w:val="Odstavecseseznamem"/>
        <w:numPr>
          <w:ilvl w:val="0"/>
          <w:numId w:val="31"/>
        </w:numPr>
        <w:tabs>
          <w:tab w:val="num" w:pos="709"/>
        </w:tabs>
        <w:ind w:left="709" w:hanging="283"/>
        <w:jc w:val="both"/>
        <w:rPr>
          <w:lang w:val="cs-CZ"/>
        </w:rPr>
      </w:pPr>
      <w:r>
        <w:rPr>
          <w:lang w:val="cs-CZ"/>
        </w:rPr>
        <w:t xml:space="preserve">Z hotovitel je </w:t>
      </w:r>
      <w:r w:rsidRPr="00BC485F">
        <w:rPr>
          <w:lang w:val="cs-CZ"/>
        </w:rPr>
        <w:t xml:space="preserve">povinen reportovat údaje dle čl. 22 čl. 22 Nařízení Evropského parlamentu a Rady (EU) 2021/241 ze dne 12. února 2021, kterým se zřizuje Nástroj pro oživení a odolnost, v platném znění.. Důvodem reportování a shromažďování údajů je možná kontrola veřejné zakázky ze strany Evropské komise, OLAF, Účetního dvora a Úřadu evropského veřejného žalobce, příp. dalších </w:t>
      </w:r>
      <w:r>
        <w:rPr>
          <w:lang w:val="cs-CZ"/>
        </w:rPr>
        <w:t>orgánů.</w:t>
      </w: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D62688" w:rsidRPr="003F19D6" w:rsidRDefault="000B7051" w:rsidP="00D7544A">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747E7B" w:rsidRDefault="00747E7B" w:rsidP="00230663">
      <w:pPr>
        <w:spacing w:before="120" w:after="120"/>
        <w:ind w:firstLine="0"/>
        <w:rPr>
          <w:b/>
          <w:caps/>
          <w:lang w:val="cs-CZ"/>
        </w:rPr>
      </w:pPr>
    </w:p>
    <w:p w:rsidR="00F546DF" w:rsidRPr="00F546DF" w:rsidRDefault="00F546DF" w:rsidP="00F546DF">
      <w:pPr>
        <w:spacing w:before="120" w:after="120"/>
        <w:ind w:left="850" w:hanging="425"/>
        <w:jc w:val="center"/>
        <w:rPr>
          <w:b/>
          <w:bCs/>
        </w:rPr>
      </w:pPr>
      <w:proofErr w:type="spellStart"/>
      <w:r>
        <w:rPr>
          <w:b/>
          <w:bCs/>
        </w:rPr>
        <w:t>Článek</w:t>
      </w:r>
      <w:proofErr w:type="spellEnd"/>
      <w:r>
        <w:rPr>
          <w:b/>
          <w:bCs/>
        </w:rPr>
        <w:t xml:space="preserve"> 16</w:t>
      </w:r>
    </w:p>
    <w:p w:rsidR="00F546DF" w:rsidRPr="008F7358" w:rsidRDefault="00660F1E" w:rsidP="00F546DF">
      <w:pPr>
        <w:spacing w:before="120" w:after="120"/>
        <w:ind w:left="850" w:hanging="425"/>
        <w:jc w:val="center"/>
        <w:rPr>
          <w:b/>
          <w:caps/>
          <w:lang w:val="cs-CZ"/>
        </w:rPr>
      </w:pPr>
      <w:r>
        <w:rPr>
          <w:b/>
          <w:caps/>
          <w:lang w:val="cs-CZ"/>
        </w:rPr>
        <w:t>UPLATNĚNÍ ZÁSAD</w:t>
      </w:r>
      <w:r w:rsidR="00987B34">
        <w:rPr>
          <w:b/>
          <w:caps/>
          <w:lang w:val="cs-CZ"/>
        </w:rPr>
        <w:t>Y</w:t>
      </w:r>
      <w:r w:rsidR="00F546DF">
        <w:rPr>
          <w:b/>
          <w:caps/>
          <w:lang w:val="cs-CZ"/>
        </w:rPr>
        <w:t xml:space="preserve"> DNSH</w:t>
      </w:r>
    </w:p>
    <w:p w:rsidR="00F546DF" w:rsidRDefault="00F546DF" w:rsidP="00660F1E">
      <w:pPr>
        <w:pStyle w:val="Bezmezer"/>
        <w:numPr>
          <w:ilvl w:val="0"/>
          <w:numId w:val="14"/>
        </w:numPr>
        <w:jc w:val="both"/>
        <w:rPr>
          <w:lang w:val="cs-CZ"/>
        </w:rPr>
      </w:pPr>
      <w:r>
        <w:rPr>
          <w:lang w:val="cs-CZ"/>
        </w:rPr>
        <w:t xml:space="preserve">Zhotovitel je povinen postupovat při </w:t>
      </w:r>
      <w:r w:rsidR="00074F46">
        <w:rPr>
          <w:lang w:val="cs-CZ"/>
        </w:rPr>
        <w:t>provádění</w:t>
      </w:r>
      <w:r>
        <w:rPr>
          <w:lang w:val="cs-CZ"/>
        </w:rPr>
        <w:t xml:space="preserve"> díla v souladu se</w:t>
      </w:r>
      <w:r w:rsidR="00660F1E">
        <w:rPr>
          <w:lang w:val="cs-CZ"/>
        </w:rPr>
        <w:t xml:space="preserve"> zásadou </w:t>
      </w:r>
      <w:r w:rsidR="00660F1E" w:rsidRPr="00660F1E">
        <w:rPr>
          <w:lang w:val="cs-CZ"/>
        </w:rPr>
        <w:t xml:space="preserve">Do No </w:t>
      </w:r>
      <w:proofErr w:type="spellStart"/>
      <w:r w:rsidR="00660F1E" w:rsidRPr="00660F1E">
        <w:rPr>
          <w:lang w:val="cs-CZ"/>
        </w:rPr>
        <w:t>Significant</w:t>
      </w:r>
      <w:proofErr w:type="spellEnd"/>
      <w:r w:rsidR="00660F1E" w:rsidRPr="00660F1E">
        <w:rPr>
          <w:lang w:val="cs-CZ"/>
        </w:rPr>
        <w:t xml:space="preserve"> </w:t>
      </w:r>
      <w:proofErr w:type="spellStart"/>
      <w:r w:rsidR="00660F1E" w:rsidRPr="00660F1E">
        <w:rPr>
          <w:lang w:val="cs-CZ"/>
        </w:rPr>
        <w:t>Harm</w:t>
      </w:r>
      <w:proofErr w:type="spellEnd"/>
      <w:r w:rsidR="00660F1E" w:rsidRPr="00660F1E">
        <w:rPr>
          <w:lang w:val="cs-CZ"/>
        </w:rPr>
        <w:t xml:space="preserve"> (</w:t>
      </w:r>
      <w:r w:rsidR="00660F1E">
        <w:rPr>
          <w:lang w:val="cs-CZ"/>
        </w:rPr>
        <w:t>dále jen „</w:t>
      </w:r>
      <w:r w:rsidR="00660F1E" w:rsidRPr="00660F1E">
        <w:rPr>
          <w:lang w:val="cs-CZ"/>
        </w:rPr>
        <w:t>DNSH</w:t>
      </w:r>
      <w:r w:rsidR="00660F1E">
        <w:rPr>
          <w:lang w:val="cs-CZ"/>
        </w:rPr>
        <w:t>“) nebo</w:t>
      </w:r>
      <w:r w:rsidR="00074F46">
        <w:rPr>
          <w:lang w:val="cs-CZ"/>
        </w:rPr>
        <w:t>-</w:t>
      </w:r>
      <w:proofErr w:type="spellStart"/>
      <w:r w:rsidR="00660F1E">
        <w:rPr>
          <w:lang w:val="cs-CZ"/>
        </w:rPr>
        <w:t>li</w:t>
      </w:r>
      <w:proofErr w:type="spellEnd"/>
      <w:r w:rsidR="00660F1E">
        <w:rPr>
          <w:lang w:val="cs-CZ"/>
        </w:rPr>
        <w:t xml:space="preserve"> zásadou</w:t>
      </w:r>
      <w:r w:rsidR="00660F1E" w:rsidRPr="00660F1E">
        <w:rPr>
          <w:lang w:val="cs-CZ"/>
        </w:rPr>
        <w:t xml:space="preserve"> „významně nepoškozovat“ životní </w:t>
      </w:r>
      <w:r w:rsidR="00660F1E">
        <w:rPr>
          <w:lang w:val="cs-CZ"/>
        </w:rPr>
        <w:t>prostředí při realizaci projektu.</w:t>
      </w:r>
    </w:p>
    <w:p w:rsidR="00660F1E" w:rsidRDefault="00660F1E" w:rsidP="00660F1E">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sidR="00DE245F">
        <w:rPr>
          <w:lang w:val="cs-CZ"/>
        </w:rPr>
        <w:t>n</w:t>
      </w:r>
      <w:r w:rsidRPr="00660F1E">
        <w:rPr>
          <w:lang w:val="cs-CZ"/>
        </w:rPr>
        <w:t xml:space="preserve">mentálních cílů: </w:t>
      </w:r>
    </w:p>
    <w:p w:rsidR="00660F1E" w:rsidRDefault="00660F1E" w:rsidP="00660F1E">
      <w:pPr>
        <w:pStyle w:val="Bezmezer"/>
        <w:numPr>
          <w:ilvl w:val="1"/>
          <w:numId w:val="14"/>
        </w:numPr>
        <w:jc w:val="both"/>
        <w:rPr>
          <w:lang w:val="cs-CZ"/>
        </w:rPr>
      </w:pPr>
      <w:r w:rsidRPr="00660F1E">
        <w:rPr>
          <w:lang w:val="cs-CZ"/>
        </w:rPr>
        <w:t xml:space="preserve">zmírňování změny klimatu, </w:t>
      </w:r>
    </w:p>
    <w:p w:rsidR="00660F1E" w:rsidRDefault="00660F1E" w:rsidP="00660F1E">
      <w:pPr>
        <w:pStyle w:val="Bezmezer"/>
        <w:numPr>
          <w:ilvl w:val="1"/>
          <w:numId w:val="14"/>
        </w:numPr>
        <w:jc w:val="both"/>
        <w:rPr>
          <w:lang w:val="cs-CZ"/>
        </w:rPr>
      </w:pPr>
      <w:r w:rsidRPr="00660F1E">
        <w:rPr>
          <w:lang w:val="cs-CZ"/>
        </w:rPr>
        <w:t xml:space="preserve">adaptace na změnu klimatu, </w:t>
      </w:r>
    </w:p>
    <w:p w:rsidR="00660F1E" w:rsidRDefault="00660F1E" w:rsidP="00660F1E">
      <w:pPr>
        <w:pStyle w:val="Bezmezer"/>
        <w:numPr>
          <w:ilvl w:val="1"/>
          <w:numId w:val="14"/>
        </w:numPr>
        <w:jc w:val="both"/>
        <w:rPr>
          <w:lang w:val="cs-CZ"/>
        </w:rPr>
      </w:pPr>
      <w:r w:rsidRPr="00660F1E">
        <w:rPr>
          <w:lang w:val="cs-CZ"/>
        </w:rPr>
        <w:t xml:space="preserve">udržitelné využívání a ochrana vodních a mořských zdrojů, </w:t>
      </w:r>
    </w:p>
    <w:p w:rsidR="00660F1E" w:rsidRDefault="00660F1E" w:rsidP="00660F1E">
      <w:pPr>
        <w:pStyle w:val="Bezmezer"/>
        <w:numPr>
          <w:ilvl w:val="1"/>
          <w:numId w:val="14"/>
        </w:numPr>
        <w:jc w:val="both"/>
        <w:rPr>
          <w:lang w:val="cs-CZ"/>
        </w:rPr>
      </w:pPr>
      <w:r w:rsidRPr="00660F1E">
        <w:rPr>
          <w:lang w:val="cs-CZ"/>
        </w:rPr>
        <w:t>oběhové hospodářství včetně předcházení vzniku odpadů a recyklace,</w:t>
      </w:r>
    </w:p>
    <w:p w:rsidR="00660F1E" w:rsidRDefault="00660F1E" w:rsidP="00660F1E">
      <w:pPr>
        <w:pStyle w:val="Bezmezer"/>
        <w:numPr>
          <w:ilvl w:val="1"/>
          <w:numId w:val="14"/>
        </w:numPr>
        <w:jc w:val="both"/>
        <w:rPr>
          <w:lang w:val="cs-CZ"/>
        </w:rPr>
      </w:pPr>
      <w:r w:rsidRPr="00660F1E">
        <w:rPr>
          <w:lang w:val="cs-CZ"/>
        </w:rPr>
        <w:t xml:space="preserve">prevence a omezování znečištění, </w:t>
      </w:r>
    </w:p>
    <w:p w:rsidR="00F546DF" w:rsidRPr="00660F1E" w:rsidRDefault="00660F1E" w:rsidP="00660F1E">
      <w:pPr>
        <w:pStyle w:val="Bezmezer"/>
        <w:numPr>
          <w:ilvl w:val="1"/>
          <w:numId w:val="14"/>
        </w:numPr>
        <w:jc w:val="both"/>
        <w:rPr>
          <w:lang w:val="cs-CZ"/>
        </w:rPr>
      </w:pPr>
      <w:r w:rsidRPr="00660F1E">
        <w:rPr>
          <w:lang w:val="cs-CZ"/>
        </w:rPr>
        <w:t xml:space="preserve">ochrana a obnova biodiverzity a ekosystémů.   </w:t>
      </w:r>
    </w:p>
    <w:p w:rsidR="00F546DF" w:rsidRDefault="00BE641D" w:rsidP="00807632">
      <w:pPr>
        <w:pStyle w:val="Bezmezer"/>
        <w:numPr>
          <w:ilvl w:val="0"/>
          <w:numId w:val="14"/>
        </w:numPr>
        <w:jc w:val="both"/>
        <w:rPr>
          <w:lang w:val="cs-CZ"/>
        </w:rPr>
      </w:pPr>
      <w:r>
        <w:rPr>
          <w:lang w:val="cs-CZ"/>
        </w:rPr>
        <w:t xml:space="preserve">Zhotovitel je povinen při předání díla </w:t>
      </w:r>
      <w:r w:rsidR="00464A75">
        <w:rPr>
          <w:lang w:val="cs-CZ"/>
        </w:rPr>
        <w:t xml:space="preserve">objednateli </w:t>
      </w:r>
      <w:r>
        <w:rPr>
          <w:lang w:val="cs-CZ"/>
        </w:rPr>
        <w:t>doložit</w:t>
      </w:r>
      <w:r w:rsidR="00464A75">
        <w:rPr>
          <w:lang w:val="cs-CZ"/>
        </w:rPr>
        <w:t>,</w:t>
      </w:r>
      <w:r w:rsidR="0052036D">
        <w:rPr>
          <w:lang w:val="cs-CZ"/>
        </w:rPr>
        <w:t xml:space="preserve"> jak splnil </w:t>
      </w:r>
      <w:r>
        <w:rPr>
          <w:lang w:val="cs-CZ"/>
        </w:rPr>
        <w:t>uplatnění zásady DNSH.</w:t>
      </w:r>
    </w:p>
    <w:p w:rsidR="00807632" w:rsidRPr="00807632" w:rsidRDefault="00807632" w:rsidP="00807632">
      <w:pPr>
        <w:pStyle w:val="Bezmezer"/>
        <w:numPr>
          <w:ilvl w:val="0"/>
          <w:numId w:val="0"/>
        </w:numPr>
        <w:ind w:left="720"/>
        <w:jc w:val="both"/>
        <w:rPr>
          <w:lang w:val="cs-CZ"/>
        </w:rPr>
      </w:pPr>
    </w:p>
    <w:p w:rsidR="00F546DF" w:rsidRPr="00F546DF" w:rsidRDefault="00F546DF" w:rsidP="00F546DF">
      <w:pPr>
        <w:spacing w:before="120" w:after="120"/>
        <w:ind w:left="850" w:hanging="425"/>
        <w:jc w:val="center"/>
        <w:rPr>
          <w:b/>
          <w:bCs/>
        </w:rPr>
      </w:pPr>
      <w:proofErr w:type="spellStart"/>
      <w:r>
        <w:rPr>
          <w:b/>
          <w:bCs/>
        </w:rPr>
        <w:t>Článek</w:t>
      </w:r>
      <w:proofErr w:type="spellEnd"/>
      <w:r>
        <w:rPr>
          <w:b/>
          <w:bCs/>
        </w:rPr>
        <w:t xml:space="preserve"> 17</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r w:rsidR="00B27732">
        <w:rPr>
          <w:lang w:val="cs-CZ"/>
        </w:rPr>
        <w:t xml:space="preserve"> Případné spory budou řešeny Okresním soudem v Sokolově a Krajským soudem v Plzni.</w:t>
      </w:r>
    </w:p>
    <w:p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rsidR="00663EF3" w:rsidRPr="00D7777B" w:rsidRDefault="000B7051" w:rsidP="00D7777B">
      <w:pPr>
        <w:pStyle w:val="Bezmezer"/>
        <w:numPr>
          <w:ilvl w:val="0"/>
          <w:numId w:val="37"/>
        </w:numPr>
        <w:jc w:val="both"/>
        <w:rPr>
          <w:lang w:val="cs-CZ"/>
        </w:rPr>
      </w:pPr>
      <w:r w:rsidRPr="00D7777B">
        <w:rPr>
          <w:lang w:val="cs-CZ"/>
        </w:rPr>
        <w:t>Platnost a účinnost této smlouvy, resp. jejich dodatků, nastává oboustranným podpisem statutárními zástupci smluvních stran</w:t>
      </w:r>
      <w:r w:rsidR="00B27732" w:rsidRPr="00D7777B">
        <w:rPr>
          <w:lang w:val="cs-CZ"/>
        </w:rPr>
        <w:t xml:space="preserve"> a registrací v registru smluv, kterou zajistí objednatel</w:t>
      </w:r>
      <w:r w:rsidRPr="00D7777B">
        <w:rPr>
          <w:lang w:val="cs-CZ"/>
        </w:rPr>
        <w:t>.</w:t>
      </w:r>
    </w:p>
    <w:p w:rsidR="00663EF3" w:rsidRPr="008F7358" w:rsidRDefault="000B7051" w:rsidP="00D7777B">
      <w:pPr>
        <w:numPr>
          <w:ilvl w:val="0"/>
          <w:numId w:val="37"/>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rsidR="00806A23" w:rsidRPr="00B40422" w:rsidRDefault="000B7051" w:rsidP="00D7777B">
      <w:pPr>
        <w:numPr>
          <w:ilvl w:val="0"/>
          <w:numId w:val="37"/>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E14520" w:rsidRPr="00E14520"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E14520">
        <w:rPr>
          <w:rFonts w:asciiTheme="majorHAnsi" w:hAnsiTheme="majorHAnsi" w:cs="Arial"/>
          <w:i/>
          <w:szCs w:val="22"/>
        </w:rPr>
        <w:t xml:space="preserve">Příloha č. 1: </w:t>
      </w:r>
      <w:r w:rsidRPr="00E14520">
        <w:rPr>
          <w:rFonts w:asciiTheme="majorHAnsi" w:hAnsiTheme="majorHAnsi" w:cs="Arial"/>
          <w:i/>
          <w:szCs w:val="22"/>
        </w:rPr>
        <w:tab/>
        <w:t>Položkový rozpočet díla</w:t>
      </w:r>
    </w:p>
    <w:p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2:  Časový harmonogram realizace díla </w:t>
      </w:r>
    </w:p>
    <w:p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Seznam </w:t>
      </w:r>
      <w:r>
        <w:rPr>
          <w:rFonts w:asciiTheme="majorHAnsi" w:hAnsiTheme="majorHAnsi" w:cs="Arial"/>
          <w:i/>
          <w:szCs w:val="22"/>
        </w:rPr>
        <w:t>poddoda</w:t>
      </w:r>
      <w:r w:rsidRPr="008F7358">
        <w:rPr>
          <w:rFonts w:asciiTheme="majorHAnsi" w:hAnsiTheme="majorHAnsi" w:cs="Arial"/>
          <w:i/>
          <w:szCs w:val="22"/>
        </w:rPr>
        <w:t>vatelů</w:t>
      </w:r>
    </w:p>
    <w:p w:rsidR="00BF0C1D"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8F7358">
        <w:rPr>
          <w:rStyle w:val="BezmezerChar"/>
          <w:rFonts w:asciiTheme="minorHAnsi" w:hAnsiTheme="minorHAnsi"/>
          <w:i/>
          <w:lang w:val="cs-CZ"/>
        </w:rPr>
        <w:t xml:space="preserve">Příloha č. 4:  </w:t>
      </w:r>
      <w:r w:rsidRPr="001544C2">
        <w:rPr>
          <w:rFonts w:asciiTheme="minorHAnsi" w:hAnsiTheme="minorHAnsi"/>
          <w:i/>
        </w:rPr>
        <w:t xml:space="preserve">Pojistná smlouva na </w:t>
      </w:r>
      <w:r w:rsidRPr="001544C2">
        <w:rPr>
          <w:rStyle w:val="BezmezerChar"/>
          <w:rFonts w:asciiTheme="minorHAnsi" w:hAnsiTheme="minorHAnsi"/>
          <w:i/>
          <w:lang w:val="cs-CZ"/>
        </w:rPr>
        <w:t>pojištění odpovědnosti</w:t>
      </w:r>
      <w:r>
        <w:rPr>
          <w:rStyle w:val="BezmezerChar"/>
          <w:rFonts w:asciiTheme="minorHAnsi" w:hAnsiTheme="minorHAnsi"/>
          <w:i/>
          <w:lang w:val="cs-CZ"/>
        </w:rPr>
        <w:t xml:space="preserve"> vítězného </w:t>
      </w:r>
      <w:r w:rsidR="00BE768B">
        <w:rPr>
          <w:rStyle w:val="BezmezerChar"/>
          <w:rFonts w:asciiTheme="minorHAnsi" w:hAnsiTheme="minorHAnsi"/>
          <w:i/>
          <w:lang w:val="cs-CZ"/>
        </w:rPr>
        <w:t>účastníka</w:t>
      </w:r>
    </w:p>
    <w:p w:rsidR="001A33B9" w:rsidRPr="00296E11" w:rsidRDefault="001A33B9" w:rsidP="00296E11">
      <w:pPr>
        <w:pStyle w:val="Zkladntextodsazen31"/>
        <w:shd w:val="clear" w:color="auto" w:fill="FFFFFF" w:themeFill="background1"/>
        <w:tabs>
          <w:tab w:val="num" w:pos="851"/>
        </w:tabs>
        <w:ind w:left="851" w:firstLine="142"/>
        <w:rPr>
          <w:rFonts w:asciiTheme="minorHAnsi" w:hAnsiTheme="minorHAnsi"/>
          <w:i/>
          <w:szCs w:val="22"/>
          <w:lang w:eastAsia="en-US" w:bidi="en-US"/>
        </w:rPr>
      </w:pPr>
      <w:r>
        <w:rPr>
          <w:rStyle w:val="BezmezerChar"/>
          <w:rFonts w:asciiTheme="minorHAnsi" w:hAnsiTheme="minorHAnsi"/>
          <w:i/>
          <w:lang w:val="cs-CZ"/>
        </w:rPr>
        <w:t>Příloha č. 5: DNSH</w:t>
      </w:r>
    </w:p>
    <w:p w:rsidR="009A2EF1" w:rsidRDefault="009A2EF1" w:rsidP="00F33C78">
      <w:pPr>
        <w:ind w:firstLine="0"/>
        <w:jc w:val="both"/>
        <w:rPr>
          <w:rFonts w:asciiTheme="majorHAnsi" w:hAnsiTheme="majorHAnsi" w:cs="Arial"/>
          <w:b/>
          <w:i/>
          <w:color w:val="0000FF"/>
          <w:u w:val="single"/>
          <w:lang w:val="cs-CZ"/>
        </w:rPr>
      </w:pPr>
    </w:p>
    <w:p w:rsidR="00BF0C1D" w:rsidRDefault="00BF0C1D" w:rsidP="00F33C78">
      <w:pPr>
        <w:ind w:left="709" w:firstLine="0"/>
        <w:jc w:val="both"/>
        <w:rPr>
          <w:rFonts w:asciiTheme="majorHAnsi" w:hAnsiTheme="majorHAnsi" w:cs="Arial"/>
          <w:b/>
          <w:i/>
          <w:color w:val="0000FF"/>
          <w:u w:val="single"/>
          <w:lang w:val="cs-CZ"/>
        </w:rPr>
      </w:pP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nebudou jednotlivé přílohy č. 1 a</w:t>
      </w:r>
      <w:r>
        <w:rPr>
          <w:rFonts w:asciiTheme="majorHAnsi" w:hAnsiTheme="majorHAnsi" w:cs="Arial"/>
          <w:b/>
          <w:i/>
          <w:color w:val="0000FF"/>
          <w:u w:val="single"/>
          <w:lang w:val="cs-CZ"/>
        </w:rPr>
        <w:t xml:space="preserve"> č. 3</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Pr="008F7358">
        <w:rPr>
          <w:rFonts w:asciiTheme="majorHAnsi" w:hAnsiTheme="majorHAnsi" w:cs="Arial"/>
          <w:b/>
          <w:i/>
          <w:color w:val="0000FF"/>
          <w:u w:val="single"/>
          <w:lang w:val="cs-CZ"/>
        </w:rPr>
        <w:t xml:space="preserve">3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r>
        <w:rPr>
          <w:rFonts w:asciiTheme="majorHAnsi" w:hAnsiTheme="majorHAnsi" w:cs="Arial"/>
          <w:b/>
          <w:i/>
          <w:color w:val="0000FF"/>
          <w:u w:val="single"/>
          <w:lang w:val="cs-CZ"/>
        </w:rPr>
        <w:t>Přílohy</w:t>
      </w:r>
      <w:r w:rsidRPr="008F7358">
        <w:rPr>
          <w:rFonts w:asciiTheme="majorHAnsi" w:hAnsiTheme="majorHAnsi" w:cs="Arial"/>
          <w:b/>
          <w:i/>
          <w:color w:val="0000FF"/>
          <w:u w:val="single"/>
          <w:lang w:val="cs-CZ"/>
        </w:rPr>
        <w:t xml:space="preserve"> č. </w:t>
      </w:r>
      <w:r>
        <w:rPr>
          <w:rFonts w:asciiTheme="majorHAnsi" w:hAnsiTheme="majorHAnsi" w:cs="Arial"/>
          <w:b/>
          <w:i/>
          <w:color w:val="0000FF"/>
          <w:u w:val="single"/>
          <w:lang w:val="cs-CZ"/>
        </w:rPr>
        <w:t>2</w:t>
      </w:r>
      <w:r w:rsidR="00296E11">
        <w:rPr>
          <w:rFonts w:asciiTheme="majorHAnsi" w:hAnsiTheme="majorHAnsi" w:cs="Arial"/>
          <w:b/>
          <w:i/>
          <w:color w:val="0000FF"/>
          <w:u w:val="single"/>
          <w:lang w:val="cs-CZ"/>
        </w:rPr>
        <w:t xml:space="preserve"> a</w:t>
      </w:r>
      <w:r w:rsidR="009D702A">
        <w:rPr>
          <w:rFonts w:asciiTheme="majorHAnsi" w:hAnsiTheme="majorHAnsi" w:cs="Arial"/>
          <w:b/>
          <w:i/>
          <w:color w:val="0000FF"/>
          <w:u w:val="single"/>
          <w:lang w:val="cs-CZ"/>
        </w:rPr>
        <w:t xml:space="preserve"> č. 4</w:t>
      </w:r>
      <w:r w:rsidR="001A33B9">
        <w:rPr>
          <w:rFonts w:asciiTheme="majorHAnsi" w:hAnsiTheme="majorHAnsi" w:cs="Arial"/>
          <w:b/>
          <w:i/>
          <w:color w:val="0000FF"/>
          <w:u w:val="single"/>
          <w:lang w:val="cs-CZ"/>
        </w:rPr>
        <w:t>, 5</w:t>
      </w:r>
      <w:r w:rsidR="00296E11">
        <w:rPr>
          <w:rFonts w:asciiTheme="majorHAnsi" w:hAnsiTheme="majorHAnsi" w:cs="Arial"/>
          <w:b/>
          <w:i/>
          <w:color w:val="0000FF"/>
          <w:u w:val="single"/>
          <w:lang w:val="cs-CZ"/>
        </w:rPr>
        <w:t xml:space="preserve"> </w:t>
      </w:r>
      <w:r>
        <w:rPr>
          <w:rFonts w:asciiTheme="majorHAnsi" w:hAnsiTheme="majorHAnsi" w:cs="Arial"/>
          <w:b/>
          <w:i/>
          <w:color w:val="0000FF"/>
          <w:u w:val="single"/>
          <w:lang w:val="cs-CZ"/>
        </w:rPr>
        <w:t xml:space="preserve">nejsou </w:t>
      </w:r>
      <w:r w:rsidRPr="008F7358">
        <w:rPr>
          <w:rFonts w:asciiTheme="majorHAnsi" w:hAnsiTheme="majorHAnsi" w:cs="Arial"/>
          <w:b/>
          <w:i/>
          <w:color w:val="0000FF"/>
          <w:u w:val="single"/>
          <w:lang w:val="cs-CZ"/>
        </w:rPr>
        <w:t>součástí nabídky.</w:t>
      </w:r>
    </w:p>
    <w:p w:rsidR="000052B6" w:rsidRPr="008F7358" w:rsidRDefault="000052B6" w:rsidP="000052B6">
      <w:pPr>
        <w:ind w:left="708" w:firstLine="0"/>
        <w:contextualSpacing/>
        <w:jc w:val="both"/>
        <w:rPr>
          <w:rFonts w:asciiTheme="minorHAnsi" w:hAnsiTheme="minorHAnsi"/>
          <w:highlight w:val="lightGray"/>
          <w:lang w:val="cs-CZ"/>
        </w:rPr>
      </w:pPr>
    </w:p>
    <w:p w:rsidR="00E5662A" w:rsidRPr="00807632" w:rsidRDefault="000847FB" w:rsidP="00807632">
      <w:pPr>
        <w:ind w:left="851" w:hanging="425"/>
        <w:contextualSpacing/>
        <w:jc w:val="both"/>
        <w:rPr>
          <w:rFonts w:asciiTheme="minorHAnsi" w:eastAsiaTheme="minorEastAsia" w:hAnsiTheme="minorHAnsi" w:cstheme="minorBidi"/>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Horním Slavkově</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rsidR="000B7051" w:rsidRDefault="000B7051" w:rsidP="000B7051">
      <w:pPr>
        <w:ind w:left="851" w:hanging="425"/>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807632" w:rsidRDefault="00807632" w:rsidP="000B7051">
      <w:pPr>
        <w:ind w:firstLine="0"/>
        <w:contextualSpacing/>
        <w:jc w:val="both"/>
        <w:rPr>
          <w:rFonts w:asciiTheme="minorHAnsi" w:hAnsiTheme="minorHAnsi"/>
          <w:lang w:val="cs-CZ"/>
        </w:rPr>
      </w:pPr>
    </w:p>
    <w:p w:rsidR="00AF7E33" w:rsidRPr="008F7358" w:rsidRDefault="00AF7E33"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807632">
        <w:rPr>
          <w:rFonts w:asciiTheme="minorHAnsi" w:hAnsiTheme="minorHAnsi"/>
          <w:lang w:val="cs-CZ"/>
        </w:rPr>
        <w:tab/>
      </w:r>
      <w:r w:rsidRPr="008F7358">
        <w:rPr>
          <w:rFonts w:asciiTheme="minorHAnsi" w:hAnsiTheme="minorHAnsi"/>
          <w:lang w:val="cs-CZ"/>
        </w:rPr>
        <w:t>…………………………………………………………</w:t>
      </w:r>
    </w:p>
    <w:p w:rsidR="00561802" w:rsidRPr="001949B8" w:rsidRDefault="00FD001C" w:rsidP="00561802">
      <w:pPr>
        <w:autoSpaceDE w:val="0"/>
        <w:autoSpaceDN w:val="0"/>
        <w:adjustRightInd w:val="0"/>
        <w:rPr>
          <w:rFonts w:cs="Arial"/>
          <w:b/>
          <w:lang w:val="cs-CZ"/>
        </w:rPr>
      </w:pPr>
      <w:r w:rsidRPr="00FD001C">
        <w:rPr>
          <w:rFonts w:asciiTheme="minorHAnsi" w:hAnsiTheme="minorHAnsi" w:cs="Arial"/>
          <w:lang w:val="cs-CZ"/>
        </w:rPr>
        <w:t>Alexandr TEREK</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181577" w:rsidRPr="00B73886" w:rsidRDefault="00B12A83" w:rsidP="00B73886">
      <w:pPr>
        <w:autoSpaceDE w:val="0"/>
        <w:autoSpaceDN w:val="0"/>
        <w:adjustRightInd w:val="0"/>
        <w:rPr>
          <w:rStyle w:val="Nadpis2Char"/>
          <w:rFonts w:asciiTheme="minorHAnsi" w:eastAsia="Times New Roman" w:hAnsiTheme="minorHAnsi" w:cs="Arial"/>
          <w:b w:val="0"/>
          <w:bCs w:val="0"/>
          <w:sz w:val="22"/>
          <w:szCs w:val="22"/>
          <w:lang w:val="cs-CZ"/>
        </w:rPr>
      </w:pPr>
      <w:r>
        <w:rPr>
          <w:rFonts w:asciiTheme="minorHAnsi" w:hAnsiTheme="minorHAnsi" w:cs="Arial"/>
          <w:lang w:val="cs-CZ"/>
        </w:rPr>
        <w:t>starosta města</w:t>
      </w:r>
      <w:r w:rsidR="000847FB" w:rsidRPr="000847FB">
        <w:rPr>
          <w:rFonts w:asciiTheme="minorHAnsi" w:hAnsiTheme="minorHAnsi" w:cs="Arial"/>
          <w:lang w:val="cs-CZ"/>
        </w:rPr>
        <w:t xml:space="preserve">        </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bookmarkStart w:id="0" w:name="_GoBack"/>
      <w:bookmarkEnd w:id="0"/>
    </w:p>
    <w:sectPr w:rsidR="00181577" w:rsidRPr="00B73886" w:rsidSect="00807632">
      <w:footerReference w:type="default" r:id="rId12"/>
      <w:headerReference w:type="first" r:id="rId13"/>
      <w:pgSz w:w="11906" w:h="16838"/>
      <w:pgMar w:top="1134" w:right="1417" w:bottom="1134"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D2" w:rsidRDefault="00B97ED2" w:rsidP="00DF3FCF">
      <w:r>
        <w:separator/>
      </w:r>
    </w:p>
  </w:endnote>
  <w:endnote w:type="continuationSeparator" w:id="0">
    <w:p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rsidR="00363EED" w:rsidRDefault="00363EED">
        <w:pPr>
          <w:pStyle w:val="Zpat"/>
          <w:jc w:val="center"/>
        </w:pPr>
        <w:r>
          <w:fldChar w:fldCharType="begin"/>
        </w:r>
        <w:r>
          <w:instrText xml:space="preserve"> PAGE   \* MERGEFORMAT </w:instrText>
        </w:r>
        <w:r>
          <w:fldChar w:fldCharType="separate"/>
        </w:r>
        <w:r w:rsidR="00B73886">
          <w:rPr>
            <w:noProof/>
          </w:rPr>
          <w:t>- 16 -</w:t>
        </w:r>
        <w:r>
          <w:rPr>
            <w:noProof/>
          </w:rPr>
          <w:fldChar w:fldCharType="end"/>
        </w:r>
      </w:p>
    </w:sdtContent>
  </w:sdt>
  <w:p w:rsidR="00363EED" w:rsidRDefault="00363EED"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D2" w:rsidRDefault="00B97ED2" w:rsidP="00DF3FCF">
      <w:r>
        <w:separator/>
      </w:r>
    </w:p>
  </w:footnote>
  <w:footnote w:type="continuationSeparator" w:id="0">
    <w:p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drawing>
        <wp:anchor distT="0" distB="0" distL="114300" distR="114300" simplePos="0" relativeHeight="251659264" behindDoc="1" locked="0" layoutInCell="1" allowOverlap="1" wp14:anchorId="19F1443C" wp14:editId="619F0063">
          <wp:simplePos x="0" y="0"/>
          <wp:positionH relativeFrom="column">
            <wp:posOffset>4075430</wp:posOffset>
          </wp:positionH>
          <wp:positionV relativeFrom="paragraph">
            <wp:posOffset>-102235</wp:posOffset>
          </wp:positionV>
          <wp:extent cx="1884045" cy="563245"/>
          <wp:effectExtent l="0" t="0" r="0" b="8255"/>
          <wp:wrapTight wrapText="bothSides">
            <wp:wrapPolygon edited="0">
              <wp:start x="0" y="731"/>
              <wp:lineTo x="0" y="21186"/>
              <wp:lineTo x="20093" y="21186"/>
              <wp:lineTo x="20748" y="16072"/>
              <wp:lineTo x="20530" y="2922"/>
              <wp:lineTo x="16817" y="731"/>
              <wp:lineTo x="0" y="731"/>
            </wp:wrapPolygon>
          </wp:wrapTight>
          <wp:docPr id="3" name="obrázek 2" descr="NPO logo publicita - CS Financováno Evropskou unií_POS - edu.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O logo publicita - CS Financováno Evropskou unií_POS - edu.c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40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080">
      <w:rPr>
        <w:rFonts w:ascii="Times New Roman" w:hAnsi="Times New Roman"/>
        <w:noProof/>
        <w:sz w:val="24"/>
        <w:szCs w:val="24"/>
        <w:lang w:val="cs-CZ" w:eastAsia="cs-CZ" w:bidi="ar-SA"/>
      </w:rPr>
      <w:drawing>
        <wp:inline distT="0" distB="0" distL="0" distR="0" wp14:anchorId="66E07D92" wp14:editId="4D3E2FA4">
          <wp:extent cx="1341120" cy="461609"/>
          <wp:effectExtent l="0" t="0" r="0" b="0"/>
          <wp:docPr id="4" name="obrázek 2" descr="Povinná publicita NPO - edu.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vinná publicita NPO - edu.c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6323" cy="466842"/>
                  </a:xfrm>
                  <a:prstGeom prst="rect">
                    <a:avLst/>
                  </a:prstGeom>
                  <a:noFill/>
                  <a:ln>
                    <a:noFill/>
                  </a:ln>
                </pic:spPr>
              </pic:pic>
            </a:graphicData>
          </a:graphic>
        </wp:inline>
      </w:drawing>
    </w:r>
    <w:r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2"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7"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6"/>
  </w:num>
  <w:num w:numId="2">
    <w:abstractNumId w:val="18"/>
  </w:num>
  <w:num w:numId="3">
    <w:abstractNumId w:val="31"/>
  </w:num>
  <w:num w:numId="4">
    <w:abstractNumId w:val="2"/>
  </w:num>
  <w:num w:numId="5">
    <w:abstractNumId w:val="17"/>
  </w:num>
  <w:num w:numId="6">
    <w:abstractNumId w:val="13"/>
  </w:num>
  <w:num w:numId="7">
    <w:abstractNumId w:val="4"/>
  </w:num>
  <w:num w:numId="8">
    <w:abstractNumId w:val="27"/>
  </w:num>
  <w:num w:numId="9">
    <w:abstractNumId w:val="3"/>
  </w:num>
  <w:num w:numId="10">
    <w:abstractNumId w:val="39"/>
  </w:num>
  <w:num w:numId="11">
    <w:abstractNumId w:val="29"/>
  </w:num>
  <w:num w:numId="12">
    <w:abstractNumId w:val="35"/>
  </w:num>
  <w:num w:numId="13">
    <w:abstractNumId w:val="9"/>
  </w:num>
  <w:num w:numId="14">
    <w:abstractNumId w:val="32"/>
  </w:num>
  <w:num w:numId="15">
    <w:abstractNumId w:val="7"/>
  </w:num>
  <w:num w:numId="16">
    <w:abstractNumId w:val="24"/>
  </w:num>
  <w:num w:numId="17">
    <w:abstractNumId w:val="16"/>
  </w:num>
  <w:num w:numId="18">
    <w:abstractNumId w:val="30"/>
  </w:num>
  <w:num w:numId="19">
    <w:abstractNumId w:val="28"/>
  </w:num>
  <w:num w:numId="20">
    <w:abstractNumId w:val="26"/>
  </w:num>
  <w:num w:numId="21">
    <w:abstractNumId w:val="5"/>
  </w:num>
  <w:num w:numId="22">
    <w:abstractNumId w:val="37"/>
  </w:num>
  <w:num w:numId="23">
    <w:abstractNumId w:val="0"/>
    <w:lvlOverride w:ilvl="0">
      <w:startOverride w:val="1"/>
    </w:lvlOverride>
  </w:num>
  <w:num w:numId="24">
    <w:abstractNumId w:val="14"/>
  </w:num>
  <w:num w:numId="25">
    <w:abstractNumId w:val="21"/>
  </w:num>
  <w:num w:numId="26">
    <w:abstractNumId w:val="6"/>
  </w:num>
  <w:num w:numId="27">
    <w:abstractNumId w:val="22"/>
  </w:num>
  <w:num w:numId="28">
    <w:abstractNumId w:val="25"/>
  </w:num>
  <w:num w:numId="29">
    <w:abstractNumId w:val="34"/>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3"/>
  </w:num>
  <w:num w:numId="36">
    <w:abstractNumId w:val="8"/>
  </w:num>
  <w:num w:numId="37">
    <w:abstractNumId w:val="19"/>
  </w:num>
  <w:num w:numId="38">
    <w:abstractNumId w:val="38"/>
  </w:num>
  <w:num w:numId="39">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998"/>
    <w:rsid w:val="000052B6"/>
    <w:rsid w:val="00006427"/>
    <w:rsid w:val="00011DBC"/>
    <w:rsid w:val="000142C2"/>
    <w:rsid w:val="000146AB"/>
    <w:rsid w:val="0002504B"/>
    <w:rsid w:val="000255A2"/>
    <w:rsid w:val="00026D8C"/>
    <w:rsid w:val="0003189E"/>
    <w:rsid w:val="00031A69"/>
    <w:rsid w:val="00036E12"/>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7051"/>
    <w:rsid w:val="000B75F7"/>
    <w:rsid w:val="000D02BE"/>
    <w:rsid w:val="000E1220"/>
    <w:rsid w:val="000E2D2D"/>
    <w:rsid w:val="000E68FF"/>
    <w:rsid w:val="000E7C37"/>
    <w:rsid w:val="000F079A"/>
    <w:rsid w:val="000F0FC0"/>
    <w:rsid w:val="001046B0"/>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3CC5"/>
    <w:rsid w:val="00225A11"/>
    <w:rsid w:val="00227F79"/>
    <w:rsid w:val="00230663"/>
    <w:rsid w:val="00234E26"/>
    <w:rsid w:val="00240DAE"/>
    <w:rsid w:val="0024214C"/>
    <w:rsid w:val="0024232C"/>
    <w:rsid w:val="0024243F"/>
    <w:rsid w:val="00250355"/>
    <w:rsid w:val="002507CF"/>
    <w:rsid w:val="002553B1"/>
    <w:rsid w:val="002566C7"/>
    <w:rsid w:val="00265400"/>
    <w:rsid w:val="00270F20"/>
    <w:rsid w:val="002723DF"/>
    <w:rsid w:val="00280AD9"/>
    <w:rsid w:val="002833E6"/>
    <w:rsid w:val="0028368D"/>
    <w:rsid w:val="00285F14"/>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F97"/>
    <w:rsid w:val="002C7E7F"/>
    <w:rsid w:val="002D2591"/>
    <w:rsid w:val="002D47D7"/>
    <w:rsid w:val="002D756B"/>
    <w:rsid w:val="002E1D45"/>
    <w:rsid w:val="002E400B"/>
    <w:rsid w:val="002E6EE0"/>
    <w:rsid w:val="002E7910"/>
    <w:rsid w:val="002F0CD8"/>
    <w:rsid w:val="002F2F9F"/>
    <w:rsid w:val="002F6B4C"/>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A3D6A"/>
    <w:rsid w:val="003A5B62"/>
    <w:rsid w:val="003A6D13"/>
    <w:rsid w:val="003B5B6A"/>
    <w:rsid w:val="003B612C"/>
    <w:rsid w:val="003B6A5D"/>
    <w:rsid w:val="003B773C"/>
    <w:rsid w:val="003C1FBD"/>
    <w:rsid w:val="003C38FD"/>
    <w:rsid w:val="003C6E5B"/>
    <w:rsid w:val="003C7B96"/>
    <w:rsid w:val="003D3D82"/>
    <w:rsid w:val="003D722A"/>
    <w:rsid w:val="003E0040"/>
    <w:rsid w:val="003E3574"/>
    <w:rsid w:val="003E4B6D"/>
    <w:rsid w:val="003F19D6"/>
    <w:rsid w:val="003F3E2F"/>
    <w:rsid w:val="003F46F1"/>
    <w:rsid w:val="004219B4"/>
    <w:rsid w:val="00422393"/>
    <w:rsid w:val="004245FB"/>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7C10"/>
    <w:rsid w:val="004A005A"/>
    <w:rsid w:val="004A78FA"/>
    <w:rsid w:val="004B5B90"/>
    <w:rsid w:val="004C6707"/>
    <w:rsid w:val="004D04F9"/>
    <w:rsid w:val="004D057F"/>
    <w:rsid w:val="004D08E5"/>
    <w:rsid w:val="004E6639"/>
    <w:rsid w:val="004F0804"/>
    <w:rsid w:val="004F1C76"/>
    <w:rsid w:val="004F3A1C"/>
    <w:rsid w:val="004F45DF"/>
    <w:rsid w:val="004F6080"/>
    <w:rsid w:val="00505AA9"/>
    <w:rsid w:val="00510388"/>
    <w:rsid w:val="005129EE"/>
    <w:rsid w:val="00515357"/>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21EE"/>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50EBA"/>
    <w:rsid w:val="00652C8D"/>
    <w:rsid w:val="00653702"/>
    <w:rsid w:val="0065675C"/>
    <w:rsid w:val="00660F1E"/>
    <w:rsid w:val="00663EF3"/>
    <w:rsid w:val="00671675"/>
    <w:rsid w:val="006718C9"/>
    <w:rsid w:val="00672A05"/>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A09BB"/>
    <w:rsid w:val="007A1AD0"/>
    <w:rsid w:val="007A343A"/>
    <w:rsid w:val="007A34B7"/>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3592"/>
    <w:rsid w:val="00834067"/>
    <w:rsid w:val="00835CFF"/>
    <w:rsid w:val="008370E4"/>
    <w:rsid w:val="00837EDB"/>
    <w:rsid w:val="00841025"/>
    <w:rsid w:val="00846AE3"/>
    <w:rsid w:val="00847831"/>
    <w:rsid w:val="008527F5"/>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E00FA"/>
    <w:rsid w:val="008F02CD"/>
    <w:rsid w:val="008F372B"/>
    <w:rsid w:val="008F4BB3"/>
    <w:rsid w:val="008F7358"/>
    <w:rsid w:val="0090002A"/>
    <w:rsid w:val="00902B6D"/>
    <w:rsid w:val="00903B08"/>
    <w:rsid w:val="00905FDD"/>
    <w:rsid w:val="009242F9"/>
    <w:rsid w:val="00926934"/>
    <w:rsid w:val="00930B02"/>
    <w:rsid w:val="00935838"/>
    <w:rsid w:val="00937AC1"/>
    <w:rsid w:val="00945A81"/>
    <w:rsid w:val="00947D3B"/>
    <w:rsid w:val="00956544"/>
    <w:rsid w:val="00961AD0"/>
    <w:rsid w:val="00965702"/>
    <w:rsid w:val="009657E3"/>
    <w:rsid w:val="00972CCD"/>
    <w:rsid w:val="00973152"/>
    <w:rsid w:val="00973FB1"/>
    <w:rsid w:val="00976243"/>
    <w:rsid w:val="0097693C"/>
    <w:rsid w:val="00980FFD"/>
    <w:rsid w:val="009811A5"/>
    <w:rsid w:val="00983E9A"/>
    <w:rsid w:val="00984F9C"/>
    <w:rsid w:val="0098797B"/>
    <w:rsid w:val="00987B34"/>
    <w:rsid w:val="00992E87"/>
    <w:rsid w:val="009932A6"/>
    <w:rsid w:val="009A2EF1"/>
    <w:rsid w:val="009A70AC"/>
    <w:rsid w:val="009B120A"/>
    <w:rsid w:val="009B2C0F"/>
    <w:rsid w:val="009B55F9"/>
    <w:rsid w:val="009B61CA"/>
    <w:rsid w:val="009B676C"/>
    <w:rsid w:val="009C0505"/>
    <w:rsid w:val="009C1760"/>
    <w:rsid w:val="009C49F2"/>
    <w:rsid w:val="009C56F1"/>
    <w:rsid w:val="009D702A"/>
    <w:rsid w:val="009E030C"/>
    <w:rsid w:val="009E1650"/>
    <w:rsid w:val="009E764D"/>
    <w:rsid w:val="009F5A87"/>
    <w:rsid w:val="009F65F3"/>
    <w:rsid w:val="009F6893"/>
    <w:rsid w:val="00A00316"/>
    <w:rsid w:val="00A04F51"/>
    <w:rsid w:val="00A06D76"/>
    <w:rsid w:val="00A15F9A"/>
    <w:rsid w:val="00A211AB"/>
    <w:rsid w:val="00A31C60"/>
    <w:rsid w:val="00A37E24"/>
    <w:rsid w:val="00A40A0D"/>
    <w:rsid w:val="00A41860"/>
    <w:rsid w:val="00A44C5F"/>
    <w:rsid w:val="00A563EF"/>
    <w:rsid w:val="00A60671"/>
    <w:rsid w:val="00A61748"/>
    <w:rsid w:val="00A67438"/>
    <w:rsid w:val="00A70B7E"/>
    <w:rsid w:val="00A73C26"/>
    <w:rsid w:val="00A77095"/>
    <w:rsid w:val="00A77C1A"/>
    <w:rsid w:val="00A81B1E"/>
    <w:rsid w:val="00AA057F"/>
    <w:rsid w:val="00AA080A"/>
    <w:rsid w:val="00AA14A8"/>
    <w:rsid w:val="00AA3A37"/>
    <w:rsid w:val="00AA58B9"/>
    <w:rsid w:val="00AB1471"/>
    <w:rsid w:val="00AB3300"/>
    <w:rsid w:val="00AC7116"/>
    <w:rsid w:val="00AC77DB"/>
    <w:rsid w:val="00AC7CF8"/>
    <w:rsid w:val="00AD19CC"/>
    <w:rsid w:val="00AD4587"/>
    <w:rsid w:val="00AE5650"/>
    <w:rsid w:val="00AE637A"/>
    <w:rsid w:val="00AE7538"/>
    <w:rsid w:val="00AF65E1"/>
    <w:rsid w:val="00AF7E33"/>
    <w:rsid w:val="00B0107C"/>
    <w:rsid w:val="00B04D7D"/>
    <w:rsid w:val="00B100E0"/>
    <w:rsid w:val="00B112B1"/>
    <w:rsid w:val="00B12A83"/>
    <w:rsid w:val="00B21C1B"/>
    <w:rsid w:val="00B23618"/>
    <w:rsid w:val="00B26DD2"/>
    <w:rsid w:val="00B27732"/>
    <w:rsid w:val="00B33F54"/>
    <w:rsid w:val="00B34B1A"/>
    <w:rsid w:val="00B40422"/>
    <w:rsid w:val="00B43C49"/>
    <w:rsid w:val="00B47175"/>
    <w:rsid w:val="00B52B7E"/>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7E5A"/>
    <w:rsid w:val="00BB3499"/>
    <w:rsid w:val="00BB3E12"/>
    <w:rsid w:val="00BC485F"/>
    <w:rsid w:val="00BC5E4C"/>
    <w:rsid w:val="00BD1B03"/>
    <w:rsid w:val="00BD39B4"/>
    <w:rsid w:val="00BD56F2"/>
    <w:rsid w:val="00BD5AE0"/>
    <w:rsid w:val="00BD70B1"/>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6E69"/>
    <w:rsid w:val="00C4712D"/>
    <w:rsid w:val="00C51716"/>
    <w:rsid w:val="00C651B2"/>
    <w:rsid w:val="00C65AF1"/>
    <w:rsid w:val="00C65F7A"/>
    <w:rsid w:val="00C73715"/>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1C36"/>
    <w:rsid w:val="00E2333A"/>
    <w:rsid w:val="00E243A4"/>
    <w:rsid w:val="00E2445B"/>
    <w:rsid w:val="00E27B03"/>
    <w:rsid w:val="00E33219"/>
    <w:rsid w:val="00E42777"/>
    <w:rsid w:val="00E42FB1"/>
    <w:rsid w:val="00E50DE8"/>
    <w:rsid w:val="00E5347E"/>
    <w:rsid w:val="00E54C86"/>
    <w:rsid w:val="00E5539B"/>
    <w:rsid w:val="00E5662A"/>
    <w:rsid w:val="00E56C1A"/>
    <w:rsid w:val="00E603C7"/>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3671"/>
    <w:rsid w:val="00F33C78"/>
    <w:rsid w:val="00F422B5"/>
    <w:rsid w:val="00F43138"/>
    <w:rsid w:val="00F44DA2"/>
    <w:rsid w:val="00F45EF5"/>
    <w:rsid w:val="00F546DF"/>
    <w:rsid w:val="00F56E5F"/>
    <w:rsid w:val="00F57CB8"/>
    <w:rsid w:val="00F613E7"/>
    <w:rsid w:val="00F61AAD"/>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ab0042,#c3c3c3,#ff88b5"/>
    </o:shapedefaults>
    <o:shapelayout v:ext="edit">
      <o:idmap v:ext="edit" data="1"/>
    </o:shapelayout>
  </w:shapeDefaults>
  <w:decimalSymbol w:val=","/>
  <w:listSeparator w:val=";"/>
  <w14:docId w14:val="4F195B54"/>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ika.volfova@hornislavkov.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F769838A-14B5-479E-809A-CF6542CF0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7791</Words>
  <Characters>45971</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5</cp:revision>
  <cp:lastPrinted>2019-08-19T04:40:00Z</cp:lastPrinted>
  <dcterms:created xsi:type="dcterms:W3CDTF">2023-12-29T09:46:00Z</dcterms:created>
  <dcterms:modified xsi:type="dcterms:W3CDTF">2023-12-29T09:52:00Z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